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D5" w:rsidRDefault="005426C6" w:rsidP="00CE1BD5">
      <w:pPr>
        <w:spacing w:after="0"/>
        <w:jc w:val="center"/>
        <w:rPr>
          <w:b/>
          <w:sz w:val="28"/>
          <w:szCs w:val="28"/>
        </w:rPr>
      </w:pPr>
      <w:r w:rsidRPr="00393E3D">
        <w:rPr>
          <w:b/>
          <w:sz w:val="28"/>
          <w:szCs w:val="28"/>
        </w:rPr>
        <w:t xml:space="preserve">DAFTAR BUKTI </w:t>
      </w:r>
      <w:r w:rsidR="00CE1BD5">
        <w:rPr>
          <w:b/>
          <w:sz w:val="28"/>
          <w:szCs w:val="28"/>
        </w:rPr>
        <w:t>BARU (NOVUM)</w:t>
      </w:r>
      <w:r w:rsidR="00194658">
        <w:rPr>
          <w:b/>
          <w:sz w:val="28"/>
          <w:szCs w:val="28"/>
        </w:rPr>
        <w:t xml:space="preserve"> SIDANG </w:t>
      </w:r>
      <w:r w:rsidR="00CE1BD5">
        <w:rPr>
          <w:b/>
          <w:sz w:val="28"/>
          <w:szCs w:val="28"/>
        </w:rPr>
        <w:t xml:space="preserve">PENINJAUAN KEMBALI </w:t>
      </w:r>
    </w:p>
    <w:p w:rsidR="005426C6" w:rsidRDefault="0036221F" w:rsidP="005426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PERKARA NOMER 08/PID/PK/2016/PN.JKT.PST.</w:t>
      </w:r>
    </w:p>
    <w:p w:rsidR="005426C6" w:rsidRPr="00E17894" w:rsidRDefault="00194658" w:rsidP="00194658">
      <w:pPr>
        <w:tabs>
          <w:tab w:val="left" w:pos="7669"/>
        </w:tabs>
        <w:spacing w:after="0"/>
        <w:rPr>
          <w:b/>
          <w:sz w:val="20"/>
          <w:szCs w:val="28"/>
        </w:rPr>
      </w:pPr>
      <w:r>
        <w:rPr>
          <w:b/>
          <w:sz w:val="20"/>
          <w:szCs w:val="28"/>
        </w:rPr>
        <w:tab/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17"/>
        <w:gridCol w:w="8080"/>
      </w:tblGrid>
      <w:tr w:rsidR="005426C6" w:rsidRPr="00393E3D" w:rsidTr="0021608E">
        <w:trPr>
          <w:trHeight w:val="549"/>
        </w:trPr>
        <w:tc>
          <w:tcPr>
            <w:tcW w:w="817" w:type="dxa"/>
            <w:vAlign w:val="center"/>
          </w:tcPr>
          <w:p w:rsidR="005426C6" w:rsidRPr="00393E3D" w:rsidRDefault="005426C6" w:rsidP="009671AA">
            <w:pPr>
              <w:jc w:val="center"/>
            </w:pPr>
            <w:r>
              <w:t>Bukti</w:t>
            </w:r>
          </w:p>
        </w:tc>
        <w:tc>
          <w:tcPr>
            <w:tcW w:w="8080" w:type="dxa"/>
            <w:vAlign w:val="center"/>
          </w:tcPr>
          <w:p w:rsidR="005426C6" w:rsidRPr="00393E3D" w:rsidRDefault="005426C6" w:rsidP="009671AA">
            <w:pPr>
              <w:jc w:val="center"/>
            </w:pPr>
            <w:r w:rsidRPr="00393E3D">
              <w:t>NAMA BARANG BUKTI</w:t>
            </w:r>
          </w:p>
        </w:tc>
      </w:tr>
      <w:tr w:rsidR="00194658" w:rsidRPr="002C35F6" w:rsidTr="00755A52">
        <w:tc>
          <w:tcPr>
            <w:tcW w:w="817" w:type="dxa"/>
            <w:vAlign w:val="center"/>
          </w:tcPr>
          <w:p w:rsidR="00194658" w:rsidRPr="002C35F6" w:rsidRDefault="00194658" w:rsidP="00755A52">
            <w:pPr>
              <w:jc w:val="center"/>
              <w:rPr>
                <w:sz w:val="24"/>
              </w:rPr>
            </w:pPr>
            <w:r w:rsidRPr="002C35F6">
              <w:rPr>
                <w:sz w:val="24"/>
              </w:rPr>
              <w:t>P-1.</w:t>
            </w:r>
          </w:p>
        </w:tc>
        <w:tc>
          <w:tcPr>
            <w:tcW w:w="8080" w:type="dxa"/>
          </w:tcPr>
          <w:p w:rsidR="00B1590B" w:rsidRPr="002C35F6" w:rsidRDefault="0021608E" w:rsidP="00B1590B">
            <w:pPr>
              <w:jc w:val="both"/>
              <w:rPr>
                <w:rFonts w:ascii="Calibri" w:eastAsia="Calibri" w:hAnsi="Calibri" w:cs="Tahoma"/>
                <w:b/>
                <w:bCs/>
                <w:sz w:val="24"/>
              </w:rPr>
            </w:pPr>
            <w:r w:rsidRPr="002C35F6">
              <w:rPr>
                <w:rFonts w:ascii="Calibri" w:eastAsia="Calibri" w:hAnsi="Calibri" w:cs="Tahoma"/>
                <w:b/>
                <w:bCs/>
                <w:sz w:val="24"/>
              </w:rPr>
              <w:t xml:space="preserve">PUTUSAN PN JAKARTA SELATAN PERKARA NOMER </w:t>
            </w:r>
            <w:r w:rsidRPr="002C35F6">
              <w:rPr>
                <w:rFonts w:cstheme="minorHAnsi"/>
                <w:b/>
                <w:sz w:val="24"/>
              </w:rPr>
              <w:t>1/PID-PRAP/2016/PN.JKT.SEL</w:t>
            </w:r>
            <w:r w:rsidRPr="002C35F6">
              <w:rPr>
                <w:rFonts w:ascii="Calibri" w:eastAsia="Calibri" w:hAnsi="Calibri" w:cs="Tahoma"/>
                <w:b/>
                <w:bCs/>
                <w:sz w:val="24"/>
              </w:rPr>
              <w:t xml:space="preserve"> TENTANG PRA PERADILAN ATAS SP3 LP NOMER </w:t>
            </w:r>
            <w:r w:rsidRPr="002C35F6">
              <w:rPr>
                <w:rFonts w:eastAsia="Times New Roman" w:cstheme="minorHAnsi"/>
                <w:b/>
                <w:sz w:val="24"/>
              </w:rPr>
              <w:t>LP/699/VIII/2013/BARESKRIM</w:t>
            </w:r>
            <w:r w:rsidRPr="002C35F6">
              <w:rPr>
                <w:rFonts w:cstheme="minorHAnsi"/>
                <w:b/>
                <w:sz w:val="24"/>
              </w:rPr>
              <w:t xml:space="preserve"> TANGGAL </w:t>
            </w:r>
            <w:r w:rsidRPr="002C35F6">
              <w:rPr>
                <w:rFonts w:eastAsia="Times New Roman" w:cstheme="minorHAnsi"/>
                <w:b/>
                <w:sz w:val="24"/>
              </w:rPr>
              <w:t>22 AGUSTUS 2013.</w:t>
            </w:r>
          </w:p>
          <w:p w:rsidR="00B1590B" w:rsidRPr="002C35F6" w:rsidRDefault="00CE1BD5" w:rsidP="00B1590B">
            <w:pPr>
              <w:jc w:val="both"/>
              <w:rPr>
                <w:rFonts w:eastAsia="Calibri" w:cs="Tahoma"/>
                <w:sz w:val="24"/>
              </w:rPr>
            </w:pPr>
            <w:r w:rsidRPr="002C35F6">
              <w:rPr>
                <w:rFonts w:eastAsia="Calibri" w:cs="Tahoma"/>
                <w:sz w:val="24"/>
              </w:rPr>
              <w:t>Bukti Baru bahwa Penghentian Proses Penyidikan (SP-3) atas Perkara yang dilaoprkan ke OJK setelah laporan kami di Polisi tidak ditanggapi sebagaimana seharusnya, membuktikan bahwa Penyidik (PPNS) dilingkungan OJK seharusnya dari awal sudah melakukan langkah-langkah  Penyidikan. Karena dalam hal tehnis Pelanggaran Pasal Modal seperti:</w:t>
            </w:r>
          </w:p>
          <w:p w:rsidR="00CE1BD5" w:rsidRPr="002C35F6" w:rsidRDefault="00CE1BD5" w:rsidP="00B1590B">
            <w:pPr>
              <w:jc w:val="both"/>
              <w:rPr>
                <w:rFonts w:cs="Tahoma"/>
                <w:b/>
                <w:bCs/>
                <w:sz w:val="24"/>
              </w:rPr>
            </w:pPr>
            <w:r w:rsidRPr="002C35F6">
              <w:rPr>
                <w:rFonts w:cs="Tahoma"/>
                <w:b/>
                <w:bCs/>
                <w:sz w:val="24"/>
              </w:rPr>
              <w:t>-</w:t>
            </w:r>
            <w:r w:rsidRPr="002C35F6">
              <w:rPr>
                <w:rFonts w:ascii="Calibri" w:eastAsia="Calibri" w:hAnsi="Calibri" w:cs="Tahoma"/>
                <w:b/>
                <w:bCs/>
                <w:sz w:val="24"/>
              </w:rPr>
              <w:t xml:space="preserve">  </w:t>
            </w:r>
            <w:r w:rsidRPr="002C35F6">
              <w:rPr>
                <w:rFonts w:cs="Tahoma"/>
                <w:b/>
                <w:bCs/>
                <w:sz w:val="24"/>
              </w:rPr>
              <w:t xml:space="preserve">Tanah yang sudah dijual dengan sempurna masih dijadikan asset   </w:t>
            </w:r>
          </w:p>
          <w:p w:rsidR="00B1590B" w:rsidRPr="002C35F6" w:rsidRDefault="00CE1BD5" w:rsidP="00B1590B">
            <w:pPr>
              <w:pStyle w:val="ListParagraph"/>
              <w:ind w:left="176" w:hanging="284"/>
              <w:jc w:val="both"/>
              <w:rPr>
                <w:rFonts w:cs="Tahoma"/>
                <w:b/>
                <w:bCs/>
                <w:sz w:val="24"/>
              </w:rPr>
            </w:pPr>
            <w:r w:rsidRPr="002C35F6">
              <w:rPr>
                <w:rFonts w:cs="Tahoma"/>
                <w:b/>
                <w:bCs/>
                <w:sz w:val="24"/>
              </w:rPr>
              <w:t xml:space="preserve">   </w:t>
            </w:r>
            <w:r w:rsidR="00B1590B" w:rsidRPr="002C35F6">
              <w:rPr>
                <w:rFonts w:cs="Tahoma"/>
                <w:b/>
                <w:bCs/>
                <w:sz w:val="24"/>
              </w:rPr>
              <w:t xml:space="preserve">  </w:t>
            </w:r>
            <w:r w:rsidRPr="002C35F6">
              <w:rPr>
                <w:rFonts w:cs="Tahoma"/>
                <w:b/>
                <w:bCs/>
                <w:sz w:val="24"/>
              </w:rPr>
              <w:t xml:space="preserve"> perusahaan TBK, </w:t>
            </w:r>
          </w:p>
          <w:p w:rsidR="00B1590B" w:rsidRPr="002C35F6" w:rsidRDefault="00B1590B" w:rsidP="00B1590B">
            <w:pPr>
              <w:pStyle w:val="ListParagraph"/>
              <w:ind w:left="176" w:hanging="176"/>
              <w:jc w:val="both"/>
              <w:rPr>
                <w:rFonts w:cs="Tahoma"/>
                <w:b/>
                <w:bCs/>
                <w:sz w:val="24"/>
              </w:rPr>
            </w:pPr>
            <w:r w:rsidRPr="002C35F6">
              <w:rPr>
                <w:rFonts w:cs="Tahoma"/>
                <w:b/>
                <w:bCs/>
                <w:sz w:val="24"/>
              </w:rPr>
              <w:t>-</w:t>
            </w:r>
            <w:r w:rsidR="00CE1BD5" w:rsidRPr="002C35F6">
              <w:rPr>
                <w:rFonts w:cs="Tahoma"/>
                <w:b/>
                <w:bCs/>
                <w:sz w:val="24"/>
              </w:rPr>
              <w:t xml:space="preserve"> Penyimpanan Uang PPRSC GCM tanpa alas hukum yang sah kedalam Rekening Perusahaan TBK (Dalam Hal ini PT. Duta Pertiwi)</w:t>
            </w:r>
            <w:r w:rsidRPr="002C35F6">
              <w:rPr>
                <w:rFonts w:cs="Tahoma"/>
                <w:b/>
                <w:bCs/>
                <w:sz w:val="24"/>
              </w:rPr>
              <w:t>,</w:t>
            </w:r>
          </w:p>
          <w:p w:rsidR="00B1590B" w:rsidRPr="002C35F6" w:rsidRDefault="00B1590B" w:rsidP="00B1590B">
            <w:pPr>
              <w:pStyle w:val="ListParagraph"/>
              <w:ind w:left="176" w:hanging="176"/>
              <w:jc w:val="both"/>
              <w:rPr>
                <w:rFonts w:cs="Tahoma"/>
                <w:b/>
                <w:bCs/>
                <w:sz w:val="24"/>
              </w:rPr>
            </w:pPr>
            <w:r w:rsidRPr="002C35F6">
              <w:rPr>
                <w:rFonts w:cs="Tahoma"/>
                <w:b/>
                <w:bCs/>
                <w:sz w:val="24"/>
              </w:rPr>
              <w:t>- Sumber penghasilan karena Penggelapan Seharusnya menjadi kewenangan OJK,</w:t>
            </w:r>
          </w:p>
          <w:p w:rsidR="00194658" w:rsidRPr="002C35F6" w:rsidRDefault="00B1590B" w:rsidP="00B1590B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</w:rPr>
            </w:pPr>
            <w:r w:rsidRPr="002C35F6">
              <w:rPr>
                <w:rFonts w:cs="Tahoma"/>
                <w:b/>
                <w:bCs/>
                <w:sz w:val="24"/>
              </w:rPr>
              <w:t>Bukan melindungi Pengembang yang melanggar UU Pasar Modal dengan cara membiarkan laporan msyarakat.</w:t>
            </w:r>
            <w:r w:rsidR="00CE1BD5" w:rsidRPr="002C35F6">
              <w:rPr>
                <w:rFonts w:cs="Tahoma"/>
                <w:b/>
                <w:bCs/>
                <w:sz w:val="24"/>
              </w:rPr>
              <w:t xml:space="preserve">  </w:t>
            </w:r>
          </w:p>
        </w:tc>
      </w:tr>
      <w:tr w:rsidR="0021608E" w:rsidRPr="002C35F6" w:rsidTr="00755A52">
        <w:tc>
          <w:tcPr>
            <w:tcW w:w="817" w:type="dxa"/>
            <w:vAlign w:val="center"/>
          </w:tcPr>
          <w:p w:rsidR="0021608E" w:rsidRPr="002C35F6" w:rsidRDefault="00755A52" w:rsidP="00755A52">
            <w:pPr>
              <w:jc w:val="center"/>
              <w:rPr>
                <w:sz w:val="24"/>
              </w:rPr>
            </w:pPr>
            <w:r w:rsidRPr="002C35F6">
              <w:rPr>
                <w:sz w:val="24"/>
              </w:rPr>
              <w:t>P-2</w:t>
            </w:r>
            <w:r w:rsidR="0021608E" w:rsidRPr="002C35F6"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21608E" w:rsidRPr="002C35F6" w:rsidRDefault="00E9518C" w:rsidP="00E9518C">
            <w:pPr>
              <w:ind w:left="317" w:hanging="317"/>
              <w:jc w:val="both"/>
              <w:rPr>
                <w:rFonts w:cs="Tahoma"/>
                <w:b/>
                <w:sz w:val="24"/>
              </w:rPr>
            </w:pPr>
            <w:r w:rsidRPr="002C35F6">
              <w:rPr>
                <w:rFonts w:cs="Tahoma"/>
                <w:b/>
                <w:sz w:val="24"/>
              </w:rPr>
              <w:t xml:space="preserve">Permohonan PTUN </w:t>
            </w:r>
            <w:r w:rsidR="0021608E" w:rsidRPr="002C35F6">
              <w:rPr>
                <w:rFonts w:cs="Tahoma"/>
                <w:b/>
                <w:sz w:val="24"/>
              </w:rPr>
              <w:t>Perkara Nomer</w:t>
            </w:r>
            <w:r w:rsidRPr="002C35F6">
              <w:rPr>
                <w:rFonts w:cs="Tahoma"/>
                <w:b/>
                <w:sz w:val="24"/>
              </w:rPr>
              <w:t xml:space="preserve"> </w:t>
            </w:r>
            <w:r w:rsidRPr="002C35F6">
              <w:rPr>
                <w:rFonts w:cstheme="minorHAnsi"/>
                <w:b/>
                <w:sz w:val="24"/>
              </w:rPr>
              <w:t>07/P/FP/2016/PTUN-JKT.</w:t>
            </w:r>
          </w:p>
          <w:p w:rsidR="0021608E" w:rsidRPr="002C35F6" w:rsidRDefault="0021608E" w:rsidP="00E9518C">
            <w:pPr>
              <w:jc w:val="both"/>
              <w:rPr>
                <w:rFonts w:cs="Tahoma"/>
                <w:sz w:val="24"/>
              </w:rPr>
            </w:pPr>
            <w:r w:rsidRPr="002C35F6">
              <w:rPr>
                <w:rFonts w:cs="Tahoma"/>
                <w:sz w:val="24"/>
              </w:rPr>
              <w:t>Bukti P –</w:t>
            </w:r>
            <w:r w:rsidR="00E9518C" w:rsidRPr="002C35F6">
              <w:rPr>
                <w:rFonts w:cs="Tahoma"/>
                <w:sz w:val="24"/>
              </w:rPr>
              <w:t xml:space="preserve"> 39 bahwa K</w:t>
            </w:r>
            <w:r w:rsidRPr="002C35F6">
              <w:rPr>
                <w:rFonts w:cs="Tahoma"/>
                <w:sz w:val="24"/>
              </w:rPr>
              <w:t>antor</w:t>
            </w:r>
            <w:r w:rsidR="00E9518C" w:rsidRPr="002C35F6">
              <w:rPr>
                <w:rFonts w:cs="Tahoma"/>
                <w:sz w:val="24"/>
              </w:rPr>
              <w:t xml:space="preserve"> Pertanahan Kabupaten</w:t>
            </w:r>
            <w:r w:rsidRPr="002C35F6">
              <w:rPr>
                <w:rFonts w:cs="Tahoma"/>
                <w:sz w:val="24"/>
              </w:rPr>
              <w:t xml:space="preserve"> Tangerang telah menerbitkan produk TUN berupa balik nama Sertipikat HBG dari semula a.n.</w:t>
            </w:r>
            <w:r w:rsidR="00E9518C" w:rsidRPr="002C35F6">
              <w:rPr>
                <w:rFonts w:cs="Tahoma"/>
                <w:sz w:val="24"/>
              </w:rPr>
              <w:t xml:space="preserve"> PT. Mulia Sentosa Dinamika </w:t>
            </w:r>
            <w:r w:rsidRPr="002C35F6">
              <w:rPr>
                <w:rFonts w:cs="Tahoma"/>
                <w:sz w:val="24"/>
              </w:rPr>
              <w:t xml:space="preserve">menjadi a.n. </w:t>
            </w:r>
            <w:r w:rsidR="00E9518C" w:rsidRPr="002C35F6">
              <w:rPr>
                <w:rFonts w:cs="Tahoma"/>
                <w:sz w:val="24"/>
              </w:rPr>
              <w:t>PPPSRS Rusun setempat yaitu Perhimpunan Penghuni Rumah Susun Taman Hijau.</w:t>
            </w:r>
          </w:p>
        </w:tc>
      </w:tr>
      <w:tr w:rsidR="00194658" w:rsidRPr="002C35F6" w:rsidTr="00755A52">
        <w:tc>
          <w:tcPr>
            <w:tcW w:w="817" w:type="dxa"/>
            <w:vAlign w:val="center"/>
          </w:tcPr>
          <w:p w:rsidR="00194658" w:rsidRPr="002C35F6" w:rsidRDefault="00755A52" w:rsidP="00755A52">
            <w:pPr>
              <w:jc w:val="center"/>
              <w:rPr>
                <w:sz w:val="24"/>
              </w:rPr>
            </w:pPr>
            <w:r w:rsidRPr="002C35F6">
              <w:rPr>
                <w:sz w:val="24"/>
              </w:rPr>
              <w:t>P-3.</w:t>
            </w:r>
          </w:p>
        </w:tc>
        <w:tc>
          <w:tcPr>
            <w:tcW w:w="8080" w:type="dxa"/>
          </w:tcPr>
          <w:p w:rsidR="00194658" w:rsidRPr="002C35F6" w:rsidRDefault="00B1590B" w:rsidP="009671AA">
            <w:pPr>
              <w:jc w:val="both"/>
              <w:rPr>
                <w:rFonts w:ascii="Calibri" w:eastAsia="Calibri" w:hAnsi="Calibri" w:cs="Tahoma"/>
                <w:b/>
                <w:bCs/>
                <w:sz w:val="24"/>
              </w:rPr>
            </w:pPr>
            <w:r w:rsidRPr="002C35F6">
              <w:rPr>
                <w:rFonts w:ascii="Calibri" w:eastAsia="Calibri" w:hAnsi="Calibri" w:cs="Tahoma"/>
                <w:b/>
                <w:bCs/>
                <w:sz w:val="24"/>
              </w:rPr>
              <w:t>PUTUSAN Pengadilan TUN DKI Perkara Nomer</w:t>
            </w:r>
            <w:r w:rsidR="00BA135C" w:rsidRPr="002C35F6">
              <w:rPr>
                <w:rFonts w:ascii="Calibri" w:eastAsia="Calibri" w:hAnsi="Calibri" w:cs="Tahoma"/>
                <w:b/>
                <w:bCs/>
                <w:sz w:val="24"/>
              </w:rPr>
              <w:t xml:space="preserve"> </w:t>
            </w:r>
            <w:r w:rsidR="00BA135C" w:rsidRPr="002C35F6">
              <w:rPr>
                <w:rFonts w:cstheme="minorHAnsi"/>
                <w:b/>
                <w:sz w:val="24"/>
              </w:rPr>
              <w:t>07/P/FP/2016/PTUN-JKT.</w:t>
            </w:r>
          </w:p>
          <w:p w:rsidR="00B1590B" w:rsidRPr="002C35F6" w:rsidRDefault="00B1590B" w:rsidP="009671AA">
            <w:pPr>
              <w:jc w:val="both"/>
              <w:rPr>
                <w:rFonts w:ascii="Calibri" w:eastAsia="Calibri" w:hAnsi="Calibri" w:cs="Tahoma"/>
                <w:b/>
                <w:bCs/>
                <w:sz w:val="24"/>
              </w:rPr>
            </w:pPr>
            <w:r w:rsidRPr="002C35F6">
              <w:rPr>
                <w:rFonts w:ascii="Calibri" w:eastAsia="Calibri" w:hAnsi="Calibri" w:cs="Tahoma"/>
                <w:b/>
                <w:bCs/>
                <w:sz w:val="24"/>
              </w:rPr>
              <w:t>Bukti bahwa ada pengakuan dari Kantor BPN Jakarta Pusat bahwa:</w:t>
            </w:r>
          </w:p>
          <w:p w:rsidR="00B1590B" w:rsidRPr="002C35F6" w:rsidRDefault="007F479D" w:rsidP="007F479D">
            <w:pPr>
              <w:pStyle w:val="ListParagraph"/>
              <w:numPr>
                <w:ilvl w:val="0"/>
                <w:numId w:val="22"/>
              </w:numPr>
              <w:ind w:left="176" w:hanging="176"/>
              <w:jc w:val="both"/>
              <w:rPr>
                <w:rFonts w:cs="Tahoma"/>
                <w:bCs/>
                <w:sz w:val="24"/>
              </w:rPr>
            </w:pPr>
            <w:r w:rsidRPr="002C35F6">
              <w:rPr>
                <w:rFonts w:cs="Tahoma"/>
                <w:bCs/>
                <w:sz w:val="24"/>
              </w:rPr>
              <w:t>Halaman</w:t>
            </w:r>
            <w:r w:rsidR="00182A6A" w:rsidRPr="002C35F6">
              <w:rPr>
                <w:rFonts w:cs="Tahoma"/>
                <w:bCs/>
                <w:sz w:val="24"/>
              </w:rPr>
              <w:t xml:space="preserve"> 41 </w:t>
            </w:r>
            <w:r w:rsidRPr="002C35F6">
              <w:rPr>
                <w:rFonts w:cs="Tahoma"/>
                <w:bCs/>
                <w:sz w:val="24"/>
              </w:rPr>
              <w:t>Bukti T</w:t>
            </w:r>
            <w:r w:rsidR="00182A6A" w:rsidRPr="002C35F6">
              <w:rPr>
                <w:rFonts w:cs="Tahoma"/>
                <w:bCs/>
                <w:sz w:val="24"/>
              </w:rPr>
              <w:t>-1</w:t>
            </w:r>
            <w:r w:rsidRPr="002C35F6">
              <w:rPr>
                <w:rFonts w:cs="Tahoma"/>
                <w:bCs/>
                <w:sz w:val="24"/>
              </w:rPr>
              <w:t xml:space="preserve"> fakta </w:t>
            </w:r>
            <w:r w:rsidR="00B1590B" w:rsidRPr="002C35F6">
              <w:rPr>
                <w:rFonts w:cs="Tahoma"/>
                <w:bCs/>
                <w:sz w:val="24"/>
              </w:rPr>
              <w:t>bahwa Sertipikat HG</w:t>
            </w:r>
            <w:r w:rsidR="00BA135C" w:rsidRPr="002C35F6">
              <w:rPr>
                <w:rFonts w:cs="Tahoma"/>
                <w:bCs/>
                <w:sz w:val="24"/>
              </w:rPr>
              <w:t>B</w:t>
            </w:r>
            <w:r w:rsidR="00B1590B" w:rsidRPr="002C35F6">
              <w:rPr>
                <w:rFonts w:cs="Tahoma"/>
                <w:bCs/>
                <w:sz w:val="24"/>
              </w:rPr>
              <w:t xml:space="preserve"> Nomer</w:t>
            </w:r>
            <w:r w:rsidR="00BA135C" w:rsidRPr="002C35F6">
              <w:rPr>
                <w:rFonts w:cs="Tahoma"/>
                <w:bCs/>
                <w:sz w:val="24"/>
              </w:rPr>
              <w:t xml:space="preserve"> 210 </w:t>
            </w:r>
            <w:r w:rsidR="00B1590B" w:rsidRPr="002C35F6">
              <w:rPr>
                <w:rFonts w:cs="Tahoma"/>
                <w:bCs/>
                <w:sz w:val="24"/>
              </w:rPr>
              <w:t>masih atas nama PT. Duta Pertiwi.</w:t>
            </w:r>
          </w:p>
          <w:p w:rsidR="007F479D" w:rsidRPr="002C35F6" w:rsidRDefault="00B1590B" w:rsidP="00182A6A">
            <w:pPr>
              <w:pStyle w:val="ListParagraph"/>
              <w:numPr>
                <w:ilvl w:val="0"/>
                <w:numId w:val="22"/>
              </w:numPr>
              <w:ind w:left="176" w:hanging="176"/>
              <w:jc w:val="both"/>
              <w:rPr>
                <w:rFonts w:cs="Tahoma"/>
                <w:b/>
                <w:bCs/>
                <w:sz w:val="24"/>
              </w:rPr>
            </w:pPr>
            <w:r w:rsidRPr="002C35F6">
              <w:rPr>
                <w:rFonts w:cs="Tahoma"/>
                <w:bCs/>
                <w:sz w:val="24"/>
              </w:rPr>
              <w:t>Halaman</w:t>
            </w:r>
            <w:r w:rsidR="00182A6A" w:rsidRPr="002C35F6">
              <w:rPr>
                <w:rFonts w:cs="Tahoma"/>
                <w:bCs/>
                <w:sz w:val="24"/>
              </w:rPr>
              <w:t xml:space="preserve"> 42 – 47 Bukti T-2 sampai T-29 fakta bahwa 27 SHM SRS Hak Bersama atas nama PT. D uta Pertiwi.</w:t>
            </w:r>
          </w:p>
        </w:tc>
      </w:tr>
      <w:tr w:rsidR="005426C6" w:rsidRPr="002C35F6" w:rsidTr="00755A52">
        <w:tc>
          <w:tcPr>
            <w:tcW w:w="817" w:type="dxa"/>
            <w:vAlign w:val="center"/>
          </w:tcPr>
          <w:p w:rsidR="005426C6" w:rsidRPr="002C35F6" w:rsidRDefault="005426C6" w:rsidP="00755A52">
            <w:pPr>
              <w:jc w:val="center"/>
              <w:rPr>
                <w:sz w:val="24"/>
              </w:rPr>
            </w:pPr>
            <w:r w:rsidRPr="002C35F6">
              <w:rPr>
                <w:sz w:val="24"/>
              </w:rPr>
              <w:t>P-</w:t>
            </w:r>
            <w:r w:rsidR="00194658" w:rsidRPr="002C35F6">
              <w:rPr>
                <w:sz w:val="24"/>
              </w:rPr>
              <w:t>4</w:t>
            </w:r>
            <w:r w:rsidRPr="002C35F6"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272128" w:rsidRPr="002C35F6" w:rsidRDefault="00671381" w:rsidP="00671381">
            <w:pPr>
              <w:jc w:val="both"/>
              <w:rPr>
                <w:rFonts w:cs="Tahoma"/>
                <w:b/>
                <w:sz w:val="24"/>
              </w:rPr>
            </w:pPr>
            <w:r w:rsidRPr="002C35F6">
              <w:rPr>
                <w:rFonts w:cs="Tahoma"/>
                <w:b/>
                <w:sz w:val="24"/>
              </w:rPr>
              <w:t>UU Nomer 20 Tahun 2011.</w:t>
            </w:r>
          </w:p>
          <w:p w:rsidR="00671381" w:rsidRPr="002C35F6" w:rsidRDefault="00755A52" w:rsidP="00755A52">
            <w:pPr>
              <w:jc w:val="both"/>
              <w:rPr>
                <w:rFonts w:cs="Tahoma"/>
                <w:sz w:val="24"/>
              </w:rPr>
            </w:pPr>
            <w:r w:rsidRPr="002C35F6">
              <w:rPr>
                <w:rFonts w:cs="Tahoma"/>
                <w:sz w:val="24"/>
              </w:rPr>
              <w:t>Pasal 1 Butir 13 m</w:t>
            </w:r>
            <w:r w:rsidR="00671381" w:rsidRPr="002C35F6">
              <w:rPr>
                <w:rFonts w:cs="Tahoma"/>
                <w:sz w:val="24"/>
              </w:rPr>
              <w:t>enjelaskan bahwa seharusnya 27 Ruang yang berada dalam Bagian Bersama sebagaimana tertuang dalam bukti P</w:t>
            </w:r>
            <w:r w:rsidR="007F07B5" w:rsidRPr="002C35F6">
              <w:rPr>
                <w:rFonts w:cs="Tahoma"/>
                <w:sz w:val="24"/>
              </w:rPr>
              <w:t xml:space="preserve">-3 </w:t>
            </w:r>
            <w:r w:rsidR="00671381" w:rsidRPr="002C35F6">
              <w:rPr>
                <w:rFonts w:cs="Tahoma"/>
                <w:sz w:val="24"/>
              </w:rPr>
              <w:t>(Pertelaan Rusun GCM yang telah di sah kan dengan Kep Gub Nomer</w:t>
            </w:r>
            <w:r w:rsidR="007F07B5" w:rsidRPr="002C35F6">
              <w:rPr>
                <w:rFonts w:cs="Tahoma"/>
                <w:sz w:val="24"/>
              </w:rPr>
              <w:t xml:space="preserve"> 1204 </w:t>
            </w:r>
            <w:r w:rsidR="00671381" w:rsidRPr="002C35F6">
              <w:rPr>
                <w:rFonts w:cs="Tahoma"/>
                <w:sz w:val="24"/>
              </w:rPr>
              <w:t>Tahun 1997</w:t>
            </w:r>
            <w:r w:rsidR="007F07B5" w:rsidRPr="002C35F6">
              <w:rPr>
                <w:rFonts w:cs="Tahoma"/>
                <w:sz w:val="24"/>
              </w:rPr>
              <w:t>)</w:t>
            </w:r>
            <w:r w:rsidR="00671381" w:rsidRPr="002C35F6">
              <w:rPr>
                <w:rFonts w:cs="Tahoma"/>
                <w:sz w:val="24"/>
              </w:rPr>
              <w:t>, semestinya tidak disertipikatkan. Dan Sertipikat ini dijadikan bukti untuk membikin LP terhadap 2 warga Rusun GCM  a.n.</w:t>
            </w:r>
            <w:r w:rsidR="007F07B5" w:rsidRPr="002C35F6">
              <w:rPr>
                <w:rFonts w:cs="Tahoma"/>
                <w:sz w:val="24"/>
              </w:rPr>
              <w:t xml:space="preserve"> Johannis Vityn </w:t>
            </w:r>
            <w:r w:rsidR="00671381" w:rsidRPr="002C35F6">
              <w:rPr>
                <w:rFonts w:cs="Tahoma"/>
                <w:sz w:val="24"/>
              </w:rPr>
              <w:t>dan</w:t>
            </w:r>
            <w:r w:rsidR="007F07B5" w:rsidRPr="002C35F6">
              <w:rPr>
                <w:rFonts w:cs="Tahoma"/>
                <w:sz w:val="24"/>
              </w:rPr>
              <w:t xml:space="preserve"> Laiuw Fie Boen</w:t>
            </w:r>
            <w:r w:rsidR="00671381" w:rsidRPr="002C35F6">
              <w:rPr>
                <w:rFonts w:cs="Tahoma"/>
                <w:sz w:val="24"/>
              </w:rPr>
              <w:t xml:space="preserve"> </w:t>
            </w:r>
          </w:p>
        </w:tc>
      </w:tr>
      <w:tr w:rsidR="005426C6" w:rsidRPr="002C35F6" w:rsidTr="00755A52">
        <w:tc>
          <w:tcPr>
            <w:tcW w:w="817" w:type="dxa"/>
            <w:vAlign w:val="center"/>
          </w:tcPr>
          <w:p w:rsidR="005426C6" w:rsidRPr="002C35F6" w:rsidRDefault="005426C6" w:rsidP="00755A52">
            <w:pPr>
              <w:jc w:val="center"/>
              <w:rPr>
                <w:sz w:val="24"/>
              </w:rPr>
            </w:pPr>
            <w:r w:rsidRPr="002C35F6">
              <w:rPr>
                <w:sz w:val="24"/>
              </w:rPr>
              <w:t>P-</w:t>
            </w:r>
            <w:r w:rsidR="00194658" w:rsidRPr="002C35F6">
              <w:rPr>
                <w:sz w:val="24"/>
              </w:rPr>
              <w:t>5</w:t>
            </w:r>
            <w:r w:rsidRPr="002C35F6"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671381" w:rsidRPr="002C35F6" w:rsidRDefault="00671381" w:rsidP="009671AA">
            <w:pPr>
              <w:jc w:val="both"/>
              <w:rPr>
                <w:rFonts w:ascii="Calibri" w:eastAsia="Calibri" w:hAnsi="Calibri" w:cs="Tahoma"/>
                <w:b/>
                <w:bCs/>
                <w:sz w:val="24"/>
              </w:rPr>
            </w:pPr>
            <w:r w:rsidRPr="002C35F6">
              <w:rPr>
                <w:rFonts w:ascii="Calibri" w:eastAsia="Calibri" w:hAnsi="Calibri" w:cs="Tahoma"/>
                <w:b/>
                <w:bCs/>
                <w:sz w:val="24"/>
              </w:rPr>
              <w:t>Laporan ke KY atas Pelanggaran Majelis Hakim</w:t>
            </w:r>
            <w:r w:rsidR="007F07B5" w:rsidRPr="002C35F6">
              <w:rPr>
                <w:rFonts w:ascii="Calibri" w:eastAsia="Calibri" w:hAnsi="Calibri" w:cs="Tahoma"/>
                <w:b/>
                <w:bCs/>
                <w:sz w:val="24"/>
              </w:rPr>
              <w:t xml:space="preserve"> </w:t>
            </w:r>
            <w:r w:rsidRPr="002C35F6">
              <w:rPr>
                <w:rFonts w:ascii="Calibri" w:eastAsia="Calibri" w:hAnsi="Calibri" w:cs="Tahoma"/>
                <w:b/>
                <w:bCs/>
                <w:sz w:val="24"/>
              </w:rPr>
              <w:t xml:space="preserve">Pengadilan </w:t>
            </w:r>
            <w:r w:rsidR="007F07B5" w:rsidRPr="002C35F6">
              <w:rPr>
                <w:rFonts w:ascii="Calibri" w:eastAsia="Calibri" w:hAnsi="Calibri" w:cs="Tahoma"/>
                <w:b/>
                <w:bCs/>
                <w:sz w:val="24"/>
              </w:rPr>
              <w:t xml:space="preserve">PTUN Perkara No. </w:t>
            </w:r>
            <w:r w:rsidR="007F07B5" w:rsidRPr="002C35F6">
              <w:rPr>
                <w:rFonts w:cstheme="minorHAnsi"/>
                <w:b/>
                <w:sz w:val="24"/>
              </w:rPr>
              <w:t>02/P/FP/2016/PTUN-JKT dan 07/P/FP/2016/PTUN-JKT.</w:t>
            </w:r>
          </w:p>
          <w:p w:rsidR="005426C6" w:rsidRPr="002C35F6" w:rsidRDefault="0036221F" w:rsidP="009671AA">
            <w:pPr>
              <w:jc w:val="both"/>
              <w:rPr>
                <w:rFonts w:cs="Tahoma"/>
                <w:sz w:val="24"/>
              </w:rPr>
            </w:pPr>
            <w:r w:rsidRPr="002C35F6">
              <w:rPr>
                <w:rFonts w:ascii="Calibri" w:eastAsia="Calibri" w:hAnsi="Calibri" w:cs="Tahoma"/>
                <w:bCs/>
                <w:sz w:val="24"/>
              </w:rPr>
              <w:t xml:space="preserve">Periksa Halaman 4-6 yang isinya </w:t>
            </w:r>
            <w:r w:rsidRPr="002C35F6">
              <w:rPr>
                <w:sz w:val="24"/>
              </w:rPr>
              <w:t>sejumlah pelanggaran Kode Etik Majelis Hakim termaksud.</w:t>
            </w:r>
          </w:p>
        </w:tc>
      </w:tr>
      <w:tr w:rsidR="00B51929" w:rsidRPr="002C35F6" w:rsidTr="00755A52">
        <w:trPr>
          <w:trHeight w:val="567"/>
        </w:trPr>
        <w:tc>
          <w:tcPr>
            <w:tcW w:w="817" w:type="dxa"/>
            <w:vAlign w:val="center"/>
          </w:tcPr>
          <w:p w:rsidR="00B51929" w:rsidRPr="002C35F6" w:rsidRDefault="0021608E" w:rsidP="00755A52">
            <w:pPr>
              <w:jc w:val="center"/>
              <w:rPr>
                <w:rFonts w:cstheme="minorHAnsi"/>
                <w:sz w:val="24"/>
              </w:rPr>
            </w:pPr>
            <w:r w:rsidRPr="002C35F6">
              <w:rPr>
                <w:rFonts w:cstheme="minorHAnsi"/>
                <w:sz w:val="24"/>
              </w:rPr>
              <w:t>P</w:t>
            </w:r>
            <w:r w:rsidR="00194658" w:rsidRPr="002C35F6">
              <w:rPr>
                <w:rFonts w:cstheme="minorHAnsi"/>
                <w:sz w:val="24"/>
              </w:rPr>
              <w:t>-6</w:t>
            </w:r>
            <w:r w:rsidR="00B51929" w:rsidRPr="002C35F6">
              <w:rPr>
                <w:rFonts w:cstheme="minorHAnsi"/>
                <w:sz w:val="24"/>
              </w:rPr>
              <w:t>.</w:t>
            </w:r>
          </w:p>
        </w:tc>
        <w:tc>
          <w:tcPr>
            <w:tcW w:w="8080" w:type="dxa"/>
            <w:vAlign w:val="center"/>
          </w:tcPr>
          <w:p w:rsidR="00671381" w:rsidRPr="002C35F6" w:rsidRDefault="00671381" w:rsidP="009671AA">
            <w:pPr>
              <w:jc w:val="both"/>
              <w:rPr>
                <w:rFonts w:cstheme="minorHAnsi"/>
                <w:b/>
                <w:iCs/>
                <w:sz w:val="24"/>
              </w:rPr>
            </w:pPr>
            <w:r w:rsidRPr="002C35F6">
              <w:rPr>
                <w:rFonts w:cstheme="minorHAnsi"/>
                <w:b/>
                <w:iCs/>
                <w:sz w:val="24"/>
              </w:rPr>
              <w:t>Surat KY nomer</w:t>
            </w:r>
            <w:r w:rsidR="007F07B5" w:rsidRPr="002C35F6">
              <w:rPr>
                <w:rFonts w:cstheme="minorHAnsi"/>
                <w:b/>
                <w:iCs/>
                <w:sz w:val="24"/>
              </w:rPr>
              <w:t xml:space="preserve"> </w:t>
            </w:r>
            <w:r w:rsidR="007F07B5" w:rsidRPr="002C35F6">
              <w:rPr>
                <w:rFonts w:cstheme="minorHAnsi"/>
                <w:b/>
                <w:sz w:val="24"/>
              </w:rPr>
              <w:t>203/PH/LM.01/05/2016 Tanggal 13 Mei 2016 Tentang Permintaan Kelengkapan Data</w:t>
            </w:r>
          </w:p>
        </w:tc>
      </w:tr>
      <w:tr w:rsidR="005426C6" w:rsidRPr="002C35F6" w:rsidTr="00755A52">
        <w:tc>
          <w:tcPr>
            <w:tcW w:w="817" w:type="dxa"/>
            <w:vAlign w:val="center"/>
          </w:tcPr>
          <w:p w:rsidR="005426C6" w:rsidRPr="002C35F6" w:rsidRDefault="00194658" w:rsidP="00755A52">
            <w:pPr>
              <w:jc w:val="center"/>
              <w:rPr>
                <w:rFonts w:cstheme="minorHAnsi"/>
                <w:sz w:val="24"/>
              </w:rPr>
            </w:pPr>
            <w:r w:rsidRPr="002C35F6">
              <w:rPr>
                <w:rFonts w:cstheme="minorHAnsi"/>
                <w:sz w:val="24"/>
              </w:rPr>
              <w:t>P-7</w:t>
            </w:r>
            <w:r w:rsidR="005426C6" w:rsidRPr="002C35F6">
              <w:rPr>
                <w:rFonts w:cstheme="minorHAnsi"/>
                <w:sz w:val="24"/>
              </w:rPr>
              <w:t>.</w:t>
            </w:r>
          </w:p>
        </w:tc>
        <w:tc>
          <w:tcPr>
            <w:tcW w:w="8080" w:type="dxa"/>
          </w:tcPr>
          <w:p w:rsidR="00671381" w:rsidRPr="002C35F6" w:rsidRDefault="00671381" w:rsidP="00671381">
            <w:pPr>
              <w:jc w:val="both"/>
              <w:rPr>
                <w:rFonts w:cstheme="minorHAnsi"/>
                <w:b/>
                <w:sz w:val="24"/>
              </w:rPr>
            </w:pPr>
            <w:r w:rsidRPr="002C35F6">
              <w:rPr>
                <w:rFonts w:cstheme="minorHAnsi"/>
                <w:b/>
                <w:sz w:val="24"/>
              </w:rPr>
              <w:t>Bukti Surat Bal</w:t>
            </w:r>
            <w:r w:rsidR="007F07B5" w:rsidRPr="002C35F6">
              <w:rPr>
                <w:rFonts w:cstheme="minorHAnsi"/>
                <w:b/>
                <w:sz w:val="24"/>
              </w:rPr>
              <w:t>asan para Pemohon, bahwa Majelis</w:t>
            </w:r>
            <w:r w:rsidRPr="002C35F6">
              <w:rPr>
                <w:rFonts w:cstheme="minorHAnsi"/>
                <w:b/>
                <w:sz w:val="24"/>
              </w:rPr>
              <w:t xml:space="preserve"> Pengadilan TUN telah menyimpang dari ETIKA Hakim.</w:t>
            </w:r>
          </w:p>
        </w:tc>
      </w:tr>
      <w:tr w:rsidR="002128AE" w:rsidRPr="002C35F6" w:rsidTr="00755A52">
        <w:tc>
          <w:tcPr>
            <w:tcW w:w="817" w:type="dxa"/>
            <w:vAlign w:val="center"/>
          </w:tcPr>
          <w:p w:rsidR="002128AE" w:rsidRPr="002C35F6" w:rsidRDefault="00194658" w:rsidP="00755A52">
            <w:pPr>
              <w:jc w:val="center"/>
              <w:rPr>
                <w:rFonts w:cstheme="minorHAnsi"/>
                <w:sz w:val="24"/>
              </w:rPr>
            </w:pPr>
            <w:r w:rsidRPr="002C35F6">
              <w:rPr>
                <w:rFonts w:cstheme="minorHAnsi"/>
                <w:sz w:val="24"/>
              </w:rPr>
              <w:t>P-8</w:t>
            </w:r>
            <w:r w:rsidR="002128AE" w:rsidRPr="002C35F6">
              <w:rPr>
                <w:rFonts w:cstheme="minorHAnsi"/>
                <w:sz w:val="24"/>
                <w:lang w:val="en-US"/>
              </w:rPr>
              <w:t>.</w:t>
            </w:r>
          </w:p>
        </w:tc>
        <w:tc>
          <w:tcPr>
            <w:tcW w:w="8080" w:type="dxa"/>
          </w:tcPr>
          <w:p w:rsidR="002128AE" w:rsidRPr="002C35F6" w:rsidRDefault="00671381" w:rsidP="007F07B5">
            <w:pPr>
              <w:jc w:val="both"/>
              <w:rPr>
                <w:rFonts w:cstheme="minorHAnsi"/>
                <w:b/>
                <w:bCs/>
                <w:sz w:val="24"/>
              </w:rPr>
            </w:pPr>
            <w:r w:rsidRPr="002C35F6">
              <w:rPr>
                <w:rFonts w:cstheme="minorHAnsi"/>
                <w:b/>
                <w:sz w:val="24"/>
              </w:rPr>
              <w:t xml:space="preserve">Surat PPRSC GCM kepada </w:t>
            </w:r>
            <w:r w:rsidR="007F07B5" w:rsidRPr="002C35F6">
              <w:rPr>
                <w:rFonts w:cstheme="minorHAnsi"/>
                <w:b/>
                <w:sz w:val="24"/>
              </w:rPr>
              <w:t xml:space="preserve">Menteri Agraria &amp; Tata Ruang / Kepala BPN </w:t>
            </w:r>
            <w:r w:rsidR="007F07B5" w:rsidRPr="002C35F6">
              <w:rPr>
                <w:rFonts w:cstheme="minorHAnsi"/>
                <w:b/>
                <w:sz w:val="24"/>
                <w:lang w:val="en-US"/>
              </w:rPr>
              <w:t>RI</w:t>
            </w:r>
            <w:r w:rsidR="007F07B5" w:rsidRPr="002C35F6">
              <w:rPr>
                <w:rFonts w:cstheme="minorHAnsi"/>
                <w:b/>
                <w:sz w:val="24"/>
              </w:rPr>
              <w:t xml:space="preserve"> , </w:t>
            </w:r>
            <w:r w:rsidR="007F07B5" w:rsidRPr="002C35F6">
              <w:rPr>
                <w:rFonts w:cstheme="minorHAnsi"/>
                <w:b/>
                <w:bCs/>
                <w:sz w:val="24"/>
              </w:rPr>
              <w:t xml:space="preserve">Kepala Kantor Wilayah BPN Provinsi DKI Jakarta, Kepala Kantor Pertanahan Kota Administrasi Jakarta Pusat Nomer </w:t>
            </w:r>
            <w:r w:rsidR="007F07B5" w:rsidRPr="002C35F6">
              <w:rPr>
                <w:rFonts w:cstheme="minorHAnsi"/>
                <w:b/>
                <w:sz w:val="24"/>
              </w:rPr>
              <w:t>70/PPRSC-GCM/V/2016 T</w:t>
            </w:r>
            <w:r w:rsidRPr="002C35F6">
              <w:rPr>
                <w:rFonts w:cstheme="minorHAnsi"/>
                <w:b/>
                <w:sz w:val="24"/>
              </w:rPr>
              <w:t>anggal</w:t>
            </w:r>
            <w:r w:rsidR="007F07B5" w:rsidRPr="002C35F6">
              <w:rPr>
                <w:rFonts w:cstheme="minorHAnsi"/>
                <w:b/>
                <w:sz w:val="24"/>
              </w:rPr>
              <w:t xml:space="preserve"> 13 Mei 2016</w:t>
            </w:r>
            <w:r w:rsidRPr="002C35F6">
              <w:rPr>
                <w:rFonts w:cstheme="minorHAnsi"/>
                <w:b/>
                <w:sz w:val="24"/>
              </w:rPr>
              <w:t xml:space="preserve"> Tentang </w:t>
            </w:r>
            <w:r w:rsidR="007F07B5" w:rsidRPr="002C35F6">
              <w:rPr>
                <w:rFonts w:cstheme="minorHAnsi"/>
                <w:b/>
                <w:bCs/>
                <w:sz w:val="24"/>
              </w:rPr>
              <w:t xml:space="preserve">Kewajiban BPN Untuk Membalik Namakan Atau </w:t>
            </w:r>
            <w:r w:rsidR="007F07B5" w:rsidRPr="002C35F6">
              <w:rPr>
                <w:rFonts w:cstheme="minorHAnsi"/>
                <w:b/>
                <w:bCs/>
                <w:sz w:val="24"/>
              </w:rPr>
              <w:lastRenderedPageBreak/>
              <w:t>Membatalkan 27 SHM SRS Pada Bagian Dalam Rumah Susun Graha Cempaka Mas (Rusun GCM).</w:t>
            </w:r>
          </w:p>
          <w:p w:rsidR="00671381" w:rsidRPr="002C35F6" w:rsidRDefault="00755A52" w:rsidP="00755A52">
            <w:pPr>
              <w:jc w:val="both"/>
              <w:rPr>
                <w:rFonts w:cstheme="minorHAnsi"/>
                <w:sz w:val="24"/>
              </w:rPr>
            </w:pPr>
            <w:r w:rsidRPr="002C35F6">
              <w:rPr>
                <w:rFonts w:cstheme="minorHAnsi"/>
                <w:sz w:val="24"/>
              </w:rPr>
              <w:t xml:space="preserve">Periksa butir 5 </w:t>
            </w:r>
            <w:r w:rsidR="00671381" w:rsidRPr="002C35F6">
              <w:rPr>
                <w:rFonts w:cstheme="minorHAnsi"/>
                <w:sz w:val="24"/>
              </w:rPr>
              <w:t xml:space="preserve">yang isinya </w:t>
            </w:r>
            <w:r w:rsidR="00EC109C" w:rsidRPr="002C35F6">
              <w:rPr>
                <w:rFonts w:cstheme="minorHAnsi"/>
                <w:sz w:val="24"/>
              </w:rPr>
              <w:t>tentang k</w:t>
            </w:r>
            <w:r w:rsidR="007E4555" w:rsidRPr="002C35F6">
              <w:rPr>
                <w:rFonts w:cstheme="minorHAnsi"/>
                <w:sz w:val="24"/>
              </w:rPr>
              <w:t>e</w:t>
            </w:r>
            <w:r w:rsidR="00EC109C" w:rsidRPr="002C35F6">
              <w:rPr>
                <w:rFonts w:cstheme="minorHAnsi"/>
                <w:sz w:val="24"/>
              </w:rPr>
              <w:t xml:space="preserve">wajiban bagi Jajaran BPN untuk memperbaiki </w:t>
            </w:r>
            <w:r w:rsidRPr="002C35F6">
              <w:rPr>
                <w:rFonts w:cstheme="minorHAnsi"/>
                <w:sz w:val="24"/>
              </w:rPr>
              <w:t>kesalahan masa lalu.</w:t>
            </w:r>
          </w:p>
        </w:tc>
      </w:tr>
    </w:tbl>
    <w:p w:rsidR="00F074D9" w:rsidRDefault="00F074D9" w:rsidP="005426C6">
      <w:pPr>
        <w:spacing w:after="0"/>
        <w:jc w:val="center"/>
      </w:pPr>
    </w:p>
    <w:p w:rsidR="005426C6" w:rsidRDefault="005426C6" w:rsidP="005426C6">
      <w:pPr>
        <w:spacing w:after="0"/>
        <w:jc w:val="center"/>
      </w:pPr>
      <w:r w:rsidRPr="00F074D9">
        <w:t xml:space="preserve">Jakarta, </w:t>
      </w:r>
      <w:r w:rsidR="0036221F">
        <w:t>30</w:t>
      </w:r>
      <w:r w:rsidRPr="00F074D9">
        <w:t xml:space="preserve"> </w:t>
      </w:r>
      <w:r w:rsidR="00194658">
        <w:t>Mei</w:t>
      </w:r>
      <w:r w:rsidRPr="00F074D9">
        <w:t xml:space="preserve"> 2016.</w:t>
      </w:r>
    </w:p>
    <w:p w:rsidR="002C35F6" w:rsidRDefault="002C35F6" w:rsidP="005426C6">
      <w:pPr>
        <w:spacing w:after="0"/>
        <w:jc w:val="center"/>
      </w:pPr>
    </w:p>
    <w:p w:rsidR="002C35F6" w:rsidRPr="002C35F6" w:rsidRDefault="002C35F6" w:rsidP="002C35F6">
      <w:pPr>
        <w:spacing w:after="0"/>
        <w:rPr>
          <w:sz w:val="24"/>
        </w:rPr>
      </w:pPr>
      <w:r>
        <w:tab/>
      </w:r>
      <w:bookmarkStart w:id="0" w:name="_GoBack"/>
      <w:bookmarkEnd w:id="0"/>
      <w:r w:rsidRPr="002C35F6">
        <w:rPr>
          <w:sz w:val="24"/>
        </w:rPr>
        <w:t>Pemohon I</w:t>
      </w:r>
      <w:r w:rsidRPr="002C35F6">
        <w:rPr>
          <w:sz w:val="24"/>
        </w:rPr>
        <w:tab/>
      </w:r>
      <w:r w:rsidRPr="002C35F6">
        <w:rPr>
          <w:sz w:val="24"/>
        </w:rPr>
        <w:tab/>
      </w:r>
      <w:r w:rsidRPr="002C35F6">
        <w:rPr>
          <w:sz w:val="24"/>
        </w:rPr>
        <w:tab/>
      </w:r>
      <w:r w:rsidRPr="002C35F6">
        <w:rPr>
          <w:sz w:val="24"/>
        </w:rPr>
        <w:tab/>
      </w:r>
      <w:r w:rsidRPr="002C35F6">
        <w:rPr>
          <w:sz w:val="24"/>
        </w:rPr>
        <w:tab/>
        <w:t>Pemohon II</w:t>
      </w:r>
    </w:p>
    <w:p w:rsidR="002C35F6" w:rsidRPr="002C35F6" w:rsidRDefault="002C35F6" w:rsidP="002C35F6">
      <w:pPr>
        <w:spacing w:after="0"/>
        <w:rPr>
          <w:sz w:val="24"/>
        </w:rPr>
      </w:pPr>
    </w:p>
    <w:p w:rsidR="002C35F6" w:rsidRPr="002C35F6" w:rsidRDefault="002C35F6" w:rsidP="002C35F6">
      <w:pPr>
        <w:spacing w:after="0"/>
        <w:rPr>
          <w:sz w:val="24"/>
        </w:rPr>
      </w:pPr>
    </w:p>
    <w:p w:rsidR="002C35F6" w:rsidRPr="002C35F6" w:rsidRDefault="002C35F6" w:rsidP="002C35F6">
      <w:pPr>
        <w:spacing w:after="0"/>
        <w:rPr>
          <w:sz w:val="24"/>
        </w:rPr>
      </w:pPr>
    </w:p>
    <w:p w:rsidR="002C35F6" w:rsidRDefault="002C35F6" w:rsidP="002C35F6">
      <w:pPr>
        <w:spacing w:after="0"/>
        <w:rPr>
          <w:sz w:val="24"/>
        </w:rPr>
      </w:pPr>
      <w:r>
        <w:rPr>
          <w:sz w:val="24"/>
        </w:rPr>
        <w:t>Mayjen TNI (Purn) Saurip Kadi</w:t>
      </w:r>
      <w:r>
        <w:rPr>
          <w:sz w:val="24"/>
        </w:rPr>
        <w:tab/>
      </w:r>
      <w:r w:rsidRPr="002C35F6">
        <w:rPr>
          <w:sz w:val="24"/>
        </w:rPr>
        <w:t>Brigjen TNI (Purn) dr. Krismanto Prawirosumarto</w:t>
      </w:r>
    </w:p>
    <w:p w:rsidR="002C35F6" w:rsidRDefault="002C35F6" w:rsidP="002C35F6">
      <w:pPr>
        <w:spacing w:after="0"/>
        <w:rPr>
          <w:sz w:val="24"/>
        </w:rPr>
      </w:pPr>
    </w:p>
    <w:p w:rsidR="002C35F6" w:rsidRDefault="002C35F6" w:rsidP="002C35F6">
      <w:pPr>
        <w:spacing w:after="0"/>
        <w:rPr>
          <w:sz w:val="24"/>
        </w:rPr>
      </w:pPr>
      <w:r>
        <w:rPr>
          <w:sz w:val="24"/>
        </w:rPr>
        <w:tab/>
        <w:t>Pemohon III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Pemohon IV</w:t>
      </w:r>
    </w:p>
    <w:p w:rsidR="002C35F6" w:rsidRDefault="002C35F6" w:rsidP="002C35F6">
      <w:pPr>
        <w:spacing w:after="0"/>
        <w:rPr>
          <w:sz w:val="24"/>
        </w:rPr>
      </w:pPr>
    </w:p>
    <w:p w:rsidR="002C35F6" w:rsidRDefault="002C35F6" w:rsidP="002C35F6">
      <w:pPr>
        <w:spacing w:after="0"/>
        <w:rPr>
          <w:sz w:val="24"/>
        </w:rPr>
      </w:pPr>
    </w:p>
    <w:p w:rsidR="002C35F6" w:rsidRDefault="002C35F6" w:rsidP="002C35F6">
      <w:pPr>
        <w:spacing w:after="0"/>
        <w:rPr>
          <w:sz w:val="24"/>
        </w:rPr>
      </w:pPr>
    </w:p>
    <w:p w:rsidR="002C35F6" w:rsidRPr="002C35F6" w:rsidRDefault="002C35F6" w:rsidP="002C35F6">
      <w:pPr>
        <w:spacing w:after="0"/>
        <w:rPr>
          <w:sz w:val="24"/>
        </w:rPr>
      </w:pPr>
      <w:r>
        <w:rPr>
          <w:sz w:val="24"/>
        </w:rPr>
        <w:tab/>
        <w:t xml:space="preserve">   Triana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Tuan Haji Boyamin Saiman</w:t>
      </w:r>
    </w:p>
    <w:sectPr w:rsidR="002C35F6" w:rsidRPr="002C35F6" w:rsidSect="00182A6A">
      <w:pgSz w:w="11906" w:h="16838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AF" w:rsidRDefault="00A85BAF" w:rsidP="00A617CB">
      <w:pPr>
        <w:spacing w:after="0" w:line="240" w:lineRule="auto"/>
      </w:pPr>
      <w:r>
        <w:separator/>
      </w:r>
    </w:p>
  </w:endnote>
  <w:endnote w:type="continuationSeparator" w:id="0">
    <w:p w:rsidR="00A85BAF" w:rsidRDefault="00A85BAF" w:rsidP="00A6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AF" w:rsidRDefault="00A85BAF" w:rsidP="00A617CB">
      <w:pPr>
        <w:spacing w:after="0" w:line="240" w:lineRule="auto"/>
      </w:pPr>
      <w:r>
        <w:separator/>
      </w:r>
    </w:p>
  </w:footnote>
  <w:footnote w:type="continuationSeparator" w:id="0">
    <w:p w:rsidR="00A85BAF" w:rsidRDefault="00A85BAF" w:rsidP="00A6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5FB"/>
    <w:multiLevelType w:val="hybridMultilevel"/>
    <w:tmpl w:val="785843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969"/>
    <w:multiLevelType w:val="hybridMultilevel"/>
    <w:tmpl w:val="762E45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2053"/>
    <w:multiLevelType w:val="hybridMultilevel"/>
    <w:tmpl w:val="FF8E8022"/>
    <w:lvl w:ilvl="0" w:tplc="98822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1D69C1"/>
    <w:multiLevelType w:val="hybridMultilevel"/>
    <w:tmpl w:val="457640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5927"/>
    <w:multiLevelType w:val="hybridMultilevel"/>
    <w:tmpl w:val="416E8A34"/>
    <w:lvl w:ilvl="0" w:tplc="91FCE6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55001"/>
    <w:multiLevelType w:val="hybridMultilevel"/>
    <w:tmpl w:val="0FF203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77A91"/>
    <w:multiLevelType w:val="hybridMultilevel"/>
    <w:tmpl w:val="33E4338E"/>
    <w:lvl w:ilvl="0" w:tplc="A7AE4A1A">
      <w:start w:val="2"/>
      <w:numFmt w:val="bullet"/>
      <w:lvlText w:val="-"/>
      <w:lvlJc w:val="left"/>
      <w:pPr>
        <w:ind w:left="645" w:hanging="360"/>
      </w:pPr>
      <w:rPr>
        <w:rFonts w:ascii="Calibri" w:eastAsia="Calibri" w:hAnsi="Calibri" w:cs="Tahoma" w:hint="default"/>
      </w:rPr>
    </w:lvl>
    <w:lvl w:ilvl="1" w:tplc="0421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25653F8D"/>
    <w:multiLevelType w:val="hybridMultilevel"/>
    <w:tmpl w:val="CF686DF0"/>
    <w:lvl w:ilvl="0" w:tplc="A778516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0A86"/>
    <w:multiLevelType w:val="hybridMultilevel"/>
    <w:tmpl w:val="3BA203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861"/>
    <w:multiLevelType w:val="hybridMultilevel"/>
    <w:tmpl w:val="705AA5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4637C"/>
    <w:multiLevelType w:val="hybridMultilevel"/>
    <w:tmpl w:val="016874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47C95"/>
    <w:multiLevelType w:val="hybridMultilevel"/>
    <w:tmpl w:val="9E024B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55649"/>
    <w:multiLevelType w:val="hybridMultilevel"/>
    <w:tmpl w:val="B05A039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D0645"/>
    <w:multiLevelType w:val="hybridMultilevel"/>
    <w:tmpl w:val="B2AC11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D7E1E"/>
    <w:multiLevelType w:val="hybridMultilevel"/>
    <w:tmpl w:val="A1D8699E"/>
    <w:lvl w:ilvl="0" w:tplc="07A6DDD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F4032"/>
    <w:multiLevelType w:val="hybridMultilevel"/>
    <w:tmpl w:val="03F06AFC"/>
    <w:lvl w:ilvl="0" w:tplc="F1D2BF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3F7BEB"/>
    <w:multiLevelType w:val="hybridMultilevel"/>
    <w:tmpl w:val="61380F72"/>
    <w:lvl w:ilvl="0" w:tplc="017C52D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B2B6A"/>
    <w:multiLevelType w:val="hybridMultilevel"/>
    <w:tmpl w:val="79ECD6F4"/>
    <w:lvl w:ilvl="0" w:tplc="04210019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435AF"/>
    <w:multiLevelType w:val="hybridMultilevel"/>
    <w:tmpl w:val="7346A2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120E0"/>
    <w:multiLevelType w:val="hybridMultilevel"/>
    <w:tmpl w:val="286E4B88"/>
    <w:lvl w:ilvl="0" w:tplc="34A62D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57FBE"/>
    <w:multiLevelType w:val="hybridMultilevel"/>
    <w:tmpl w:val="DD9E93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F5245"/>
    <w:multiLevelType w:val="hybridMultilevel"/>
    <w:tmpl w:val="06CE5C7A"/>
    <w:lvl w:ilvl="0" w:tplc="0464AE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4"/>
  </w:num>
  <w:num w:numId="13">
    <w:abstractNumId w:val="20"/>
  </w:num>
  <w:num w:numId="14">
    <w:abstractNumId w:val="12"/>
  </w:num>
  <w:num w:numId="15">
    <w:abstractNumId w:val="11"/>
  </w:num>
  <w:num w:numId="16">
    <w:abstractNumId w:val="8"/>
  </w:num>
  <w:num w:numId="17">
    <w:abstractNumId w:val="3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C6"/>
    <w:rsid w:val="000D311A"/>
    <w:rsid w:val="000E2D97"/>
    <w:rsid w:val="00164731"/>
    <w:rsid w:val="00182A6A"/>
    <w:rsid w:val="00194658"/>
    <w:rsid w:val="00196977"/>
    <w:rsid w:val="001D57B1"/>
    <w:rsid w:val="001F1E53"/>
    <w:rsid w:val="002128AE"/>
    <w:rsid w:val="0021608E"/>
    <w:rsid w:val="00220D0D"/>
    <w:rsid w:val="002239C0"/>
    <w:rsid w:val="00272128"/>
    <w:rsid w:val="00291F31"/>
    <w:rsid w:val="002A18E6"/>
    <w:rsid w:val="002C35F6"/>
    <w:rsid w:val="0036221F"/>
    <w:rsid w:val="00377D5F"/>
    <w:rsid w:val="003C3DE2"/>
    <w:rsid w:val="00416173"/>
    <w:rsid w:val="00446ADC"/>
    <w:rsid w:val="00450F27"/>
    <w:rsid w:val="0045653C"/>
    <w:rsid w:val="0046646E"/>
    <w:rsid w:val="0047099C"/>
    <w:rsid w:val="004A7EB6"/>
    <w:rsid w:val="004C2580"/>
    <w:rsid w:val="0051098F"/>
    <w:rsid w:val="00515FBC"/>
    <w:rsid w:val="005426C6"/>
    <w:rsid w:val="00656B24"/>
    <w:rsid w:val="00671381"/>
    <w:rsid w:val="006815A7"/>
    <w:rsid w:val="006E5071"/>
    <w:rsid w:val="00755A52"/>
    <w:rsid w:val="007E4555"/>
    <w:rsid w:val="007E6ECC"/>
    <w:rsid w:val="007F07B5"/>
    <w:rsid w:val="007F479D"/>
    <w:rsid w:val="00822C4D"/>
    <w:rsid w:val="008B4E8F"/>
    <w:rsid w:val="008F2EC5"/>
    <w:rsid w:val="009671AA"/>
    <w:rsid w:val="00975763"/>
    <w:rsid w:val="009B3D4B"/>
    <w:rsid w:val="00A00E31"/>
    <w:rsid w:val="00A43D9F"/>
    <w:rsid w:val="00A617CB"/>
    <w:rsid w:val="00A85BAF"/>
    <w:rsid w:val="00AD5631"/>
    <w:rsid w:val="00B1590B"/>
    <w:rsid w:val="00B3180B"/>
    <w:rsid w:val="00B51929"/>
    <w:rsid w:val="00B71F32"/>
    <w:rsid w:val="00BA135C"/>
    <w:rsid w:val="00BF2579"/>
    <w:rsid w:val="00C6685B"/>
    <w:rsid w:val="00C700EF"/>
    <w:rsid w:val="00CE1BD5"/>
    <w:rsid w:val="00D37FE7"/>
    <w:rsid w:val="00D8574C"/>
    <w:rsid w:val="00E9336C"/>
    <w:rsid w:val="00E9518C"/>
    <w:rsid w:val="00EA13D3"/>
    <w:rsid w:val="00EB6717"/>
    <w:rsid w:val="00EC109C"/>
    <w:rsid w:val="00ED3C52"/>
    <w:rsid w:val="00F06940"/>
    <w:rsid w:val="00F074D9"/>
    <w:rsid w:val="00F50D90"/>
    <w:rsid w:val="00F5112A"/>
    <w:rsid w:val="00F53648"/>
    <w:rsid w:val="00F6070F"/>
    <w:rsid w:val="00F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C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6C6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6C6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31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A61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CB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A61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CB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C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6C6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6C6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31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A61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CB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A61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CB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C7A7-17D7-4AD4-B4E3-E7B42015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2016-05-30T02:08:00Z</cp:lastPrinted>
  <dcterms:created xsi:type="dcterms:W3CDTF">2016-05-17T09:42:00Z</dcterms:created>
  <dcterms:modified xsi:type="dcterms:W3CDTF">2016-05-30T02:10:00Z</dcterms:modified>
</cp:coreProperties>
</file>