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88" w:rsidRPr="0087660D" w:rsidRDefault="00C70B88" w:rsidP="00C70B88">
      <w:pPr>
        <w:spacing w:after="0"/>
        <w:jc w:val="center"/>
        <w:rPr>
          <w:rFonts w:ascii="Tahoma" w:hAnsi="Tahoma" w:cs="Tahoma"/>
          <w:b/>
          <w:sz w:val="24"/>
          <w:szCs w:val="24"/>
        </w:rPr>
      </w:pPr>
      <w:r w:rsidRPr="0087660D">
        <w:rPr>
          <w:rFonts w:ascii="Tahoma" w:hAnsi="Tahoma" w:cs="Tahoma"/>
          <w:b/>
          <w:sz w:val="24"/>
          <w:szCs w:val="24"/>
        </w:rPr>
        <w:t xml:space="preserve">BUKTI P-26 S/D </w:t>
      </w:r>
      <w:r w:rsidR="005142BC">
        <w:rPr>
          <w:rFonts w:ascii="Tahoma" w:hAnsi="Tahoma" w:cs="Tahoma"/>
          <w:b/>
          <w:sz w:val="24"/>
          <w:szCs w:val="24"/>
        </w:rPr>
        <w:t>P-47</w:t>
      </w:r>
    </w:p>
    <w:p w:rsidR="00C70B88" w:rsidRPr="0087660D" w:rsidRDefault="00C70B88" w:rsidP="00C70B88">
      <w:pPr>
        <w:spacing w:after="0"/>
        <w:jc w:val="center"/>
        <w:rPr>
          <w:rFonts w:ascii="Tahoma" w:hAnsi="Tahoma" w:cs="Tahoma"/>
          <w:b/>
          <w:sz w:val="24"/>
          <w:szCs w:val="24"/>
        </w:rPr>
      </w:pPr>
      <w:r w:rsidRPr="0087660D">
        <w:rPr>
          <w:rFonts w:ascii="Tahoma" w:hAnsi="Tahoma" w:cs="Tahoma"/>
          <w:b/>
          <w:sz w:val="24"/>
          <w:szCs w:val="24"/>
        </w:rPr>
        <w:t>DAFTAR BUKTI TAMBAHAN</w:t>
      </w:r>
      <w:r w:rsidR="0087660D">
        <w:rPr>
          <w:rFonts w:ascii="Tahoma" w:hAnsi="Tahoma" w:cs="Tahoma"/>
          <w:b/>
          <w:sz w:val="24"/>
          <w:szCs w:val="24"/>
        </w:rPr>
        <w:t xml:space="preserve"> PTUN</w:t>
      </w:r>
    </w:p>
    <w:p w:rsidR="00C70B88" w:rsidRPr="00393E3D" w:rsidRDefault="00C70B88" w:rsidP="00C70B88">
      <w:pPr>
        <w:spacing w:after="0"/>
        <w:jc w:val="center"/>
        <w:rPr>
          <w:rFonts w:cs="Arial"/>
          <w:b/>
          <w:sz w:val="28"/>
          <w:szCs w:val="28"/>
        </w:rPr>
      </w:pPr>
    </w:p>
    <w:tbl>
      <w:tblPr>
        <w:tblStyle w:val="TableGrid"/>
        <w:tblW w:w="9674" w:type="dxa"/>
        <w:tblLook w:val="04A0" w:firstRow="1" w:lastRow="0" w:firstColumn="1" w:lastColumn="0" w:noHBand="0" w:noVBand="1"/>
      </w:tblPr>
      <w:tblGrid>
        <w:gridCol w:w="817"/>
        <w:gridCol w:w="7655"/>
        <w:gridCol w:w="1202"/>
      </w:tblGrid>
      <w:tr w:rsidR="00C70B88" w:rsidRPr="00393E3D" w:rsidTr="00CE545E">
        <w:tc>
          <w:tcPr>
            <w:tcW w:w="817" w:type="dxa"/>
            <w:vAlign w:val="center"/>
          </w:tcPr>
          <w:p w:rsidR="00C70B88" w:rsidRPr="00393E3D" w:rsidRDefault="00C70B88" w:rsidP="00CE545E">
            <w:pPr>
              <w:jc w:val="center"/>
            </w:pPr>
            <w:r w:rsidRPr="00393E3D">
              <w:t>NO.</w:t>
            </w:r>
          </w:p>
        </w:tc>
        <w:tc>
          <w:tcPr>
            <w:tcW w:w="7655" w:type="dxa"/>
            <w:vAlign w:val="center"/>
          </w:tcPr>
          <w:p w:rsidR="00C70B88" w:rsidRPr="00393E3D" w:rsidRDefault="00C70B88" w:rsidP="00CE545E">
            <w:pPr>
              <w:jc w:val="center"/>
            </w:pPr>
            <w:r w:rsidRPr="00393E3D">
              <w:t>NAMA BARANG BUKTI</w:t>
            </w:r>
          </w:p>
        </w:tc>
        <w:tc>
          <w:tcPr>
            <w:tcW w:w="1202" w:type="dxa"/>
            <w:vAlign w:val="center"/>
          </w:tcPr>
          <w:p w:rsidR="00C70B88" w:rsidRPr="00393E3D" w:rsidRDefault="00C70B88" w:rsidP="00CE545E">
            <w:pPr>
              <w:jc w:val="center"/>
            </w:pPr>
            <w:r w:rsidRPr="00393E3D">
              <w:t>LAMPIRAN</w:t>
            </w:r>
          </w:p>
        </w:tc>
      </w:tr>
      <w:tr w:rsidR="00C70B88" w:rsidRPr="00393E3D" w:rsidTr="005142BC">
        <w:tc>
          <w:tcPr>
            <w:tcW w:w="817" w:type="dxa"/>
            <w:vAlign w:val="center"/>
          </w:tcPr>
          <w:p w:rsidR="00C70B88" w:rsidRPr="00393E3D" w:rsidRDefault="00C70B88" w:rsidP="005142BC">
            <w:pPr>
              <w:jc w:val="center"/>
            </w:pPr>
            <w:r>
              <w:t>26.</w:t>
            </w:r>
          </w:p>
        </w:tc>
        <w:tc>
          <w:tcPr>
            <w:tcW w:w="7655" w:type="dxa"/>
          </w:tcPr>
          <w:p w:rsidR="00C70B88" w:rsidRPr="00131E59" w:rsidRDefault="00C70B88" w:rsidP="00CE545E">
            <w:pPr>
              <w:ind w:left="317" w:hanging="317"/>
              <w:jc w:val="both"/>
              <w:rPr>
                <w:rFonts w:cs="Tahoma"/>
                <w:b/>
                <w:bCs/>
              </w:rPr>
            </w:pPr>
            <w:r>
              <w:rPr>
                <w:rFonts w:cs="Tahoma"/>
                <w:b/>
                <w:bCs/>
              </w:rPr>
              <w:t>UU No. 16 Tahun 1985 dan UU No. 20 Tahun 2011</w:t>
            </w:r>
          </w:p>
        </w:tc>
        <w:tc>
          <w:tcPr>
            <w:tcW w:w="1202" w:type="dxa"/>
            <w:vAlign w:val="center"/>
          </w:tcPr>
          <w:p w:rsidR="00C70B88" w:rsidRPr="00393E3D" w:rsidRDefault="00C70B88" w:rsidP="005142BC">
            <w:pPr>
              <w:jc w:val="center"/>
            </w:pPr>
            <w:r>
              <w:t>P-26.</w:t>
            </w:r>
          </w:p>
        </w:tc>
      </w:tr>
      <w:tr w:rsidR="00865C9E" w:rsidRPr="003C6BB0" w:rsidTr="005142BC">
        <w:tc>
          <w:tcPr>
            <w:tcW w:w="817" w:type="dxa"/>
            <w:vAlign w:val="center"/>
          </w:tcPr>
          <w:p w:rsidR="00C70B88" w:rsidRPr="003C6BB0" w:rsidRDefault="00C70B88" w:rsidP="005142BC">
            <w:pPr>
              <w:jc w:val="center"/>
              <w:rPr>
                <w:rFonts w:cstheme="minorHAnsi"/>
              </w:rPr>
            </w:pPr>
            <w:r w:rsidRPr="003C6BB0">
              <w:rPr>
                <w:rFonts w:cstheme="minorHAnsi"/>
              </w:rPr>
              <w:t>27.</w:t>
            </w:r>
          </w:p>
        </w:tc>
        <w:tc>
          <w:tcPr>
            <w:tcW w:w="7655" w:type="dxa"/>
          </w:tcPr>
          <w:p w:rsidR="00C70B88" w:rsidRPr="003C6BB0" w:rsidRDefault="00C70B88" w:rsidP="00C70B88">
            <w:pPr>
              <w:jc w:val="both"/>
              <w:rPr>
                <w:rFonts w:cstheme="minorHAnsi"/>
                <w:b/>
              </w:rPr>
            </w:pPr>
            <w:r w:rsidRPr="003C6BB0">
              <w:rPr>
                <w:rFonts w:cstheme="minorHAnsi"/>
                <w:b/>
              </w:rPr>
              <w:t>Akta Notaris No. 12 dari Kantor Notaris P Sutrisno A Tampubolon Tanggal 18 Oktober 2013.</w:t>
            </w:r>
          </w:p>
        </w:tc>
        <w:tc>
          <w:tcPr>
            <w:tcW w:w="1202" w:type="dxa"/>
            <w:vAlign w:val="center"/>
          </w:tcPr>
          <w:p w:rsidR="00C70B88" w:rsidRPr="003C6BB0" w:rsidRDefault="00C70B88" w:rsidP="005142BC">
            <w:pPr>
              <w:jc w:val="center"/>
              <w:rPr>
                <w:rFonts w:cstheme="minorHAnsi"/>
              </w:rPr>
            </w:pPr>
            <w:r w:rsidRPr="003C6BB0">
              <w:rPr>
                <w:rFonts w:cstheme="minorHAnsi"/>
              </w:rPr>
              <w:t>P-27.</w:t>
            </w:r>
          </w:p>
        </w:tc>
      </w:tr>
      <w:tr w:rsidR="00865C9E" w:rsidRPr="003C6BB0" w:rsidTr="005142BC">
        <w:tc>
          <w:tcPr>
            <w:tcW w:w="817" w:type="dxa"/>
            <w:vAlign w:val="center"/>
          </w:tcPr>
          <w:p w:rsidR="00C70B88" w:rsidRPr="003C6BB0" w:rsidRDefault="00C70B88" w:rsidP="005142BC">
            <w:pPr>
              <w:jc w:val="center"/>
              <w:rPr>
                <w:rFonts w:cstheme="minorHAnsi"/>
              </w:rPr>
            </w:pPr>
            <w:r w:rsidRPr="003C6BB0">
              <w:rPr>
                <w:rFonts w:cstheme="minorHAnsi"/>
              </w:rPr>
              <w:t>28.</w:t>
            </w:r>
          </w:p>
        </w:tc>
        <w:tc>
          <w:tcPr>
            <w:tcW w:w="7655" w:type="dxa"/>
          </w:tcPr>
          <w:p w:rsidR="00C70B88" w:rsidRPr="003C6BB0" w:rsidRDefault="00C70B88" w:rsidP="007A6175">
            <w:pPr>
              <w:pStyle w:val="ListParagraph"/>
              <w:ind w:left="34"/>
              <w:jc w:val="both"/>
              <w:rPr>
                <w:rFonts w:asciiTheme="minorHAnsi" w:hAnsiTheme="minorHAnsi" w:cstheme="minorHAnsi"/>
                <w:b/>
                <w:bCs/>
              </w:rPr>
            </w:pPr>
            <w:r w:rsidRPr="003C6BB0">
              <w:rPr>
                <w:rFonts w:asciiTheme="minorHAnsi" w:hAnsiTheme="minorHAnsi" w:cstheme="minorHAnsi"/>
                <w:b/>
              </w:rPr>
              <w:t xml:space="preserve">Surat Edaran PPRS Agus Iskandar Nomer </w:t>
            </w:r>
            <w:r w:rsidRPr="003C6BB0">
              <w:rPr>
                <w:rFonts w:asciiTheme="minorHAnsi" w:hAnsiTheme="minorHAnsi" w:cstheme="minorHAnsi"/>
                <w:b/>
                <w:bCs/>
              </w:rPr>
              <w:t>061/PPRSC-GCM/XI/2013 Tanggal 11 November 2013</w:t>
            </w:r>
            <w:r w:rsidRPr="003C6BB0">
              <w:rPr>
                <w:rFonts w:asciiTheme="minorHAnsi" w:hAnsiTheme="minorHAnsi" w:cstheme="minorHAnsi"/>
                <w:b/>
              </w:rPr>
              <w:t xml:space="preserve"> yang menyuruh warga menyetor ke rekening PT Duta Pertiwi Tbk</w:t>
            </w:r>
          </w:p>
        </w:tc>
        <w:tc>
          <w:tcPr>
            <w:tcW w:w="1202" w:type="dxa"/>
            <w:vAlign w:val="center"/>
          </w:tcPr>
          <w:p w:rsidR="00C70B88" w:rsidRPr="003C6BB0" w:rsidRDefault="00C70B88" w:rsidP="005142BC">
            <w:pPr>
              <w:jc w:val="center"/>
              <w:rPr>
                <w:rFonts w:cstheme="minorHAnsi"/>
              </w:rPr>
            </w:pPr>
            <w:r w:rsidRPr="003C6BB0">
              <w:rPr>
                <w:rFonts w:cstheme="minorHAnsi"/>
              </w:rPr>
              <w:t>P-28.</w:t>
            </w:r>
          </w:p>
        </w:tc>
      </w:tr>
      <w:tr w:rsidR="00865C9E" w:rsidRPr="003C6BB0" w:rsidTr="005142BC">
        <w:tc>
          <w:tcPr>
            <w:tcW w:w="817" w:type="dxa"/>
            <w:vAlign w:val="center"/>
          </w:tcPr>
          <w:p w:rsidR="00C70B88" w:rsidRPr="003C6BB0" w:rsidRDefault="00C70B88" w:rsidP="005142BC">
            <w:pPr>
              <w:jc w:val="center"/>
              <w:rPr>
                <w:rFonts w:cstheme="minorHAnsi"/>
              </w:rPr>
            </w:pPr>
            <w:r w:rsidRPr="003C6BB0">
              <w:rPr>
                <w:rFonts w:cstheme="minorHAnsi"/>
              </w:rPr>
              <w:t>29.</w:t>
            </w:r>
          </w:p>
        </w:tc>
        <w:tc>
          <w:tcPr>
            <w:tcW w:w="7655" w:type="dxa"/>
          </w:tcPr>
          <w:p w:rsidR="00C70B88" w:rsidRPr="003C6BB0" w:rsidRDefault="004C4C44" w:rsidP="007A6175">
            <w:pPr>
              <w:jc w:val="both"/>
              <w:rPr>
                <w:rFonts w:cstheme="minorHAnsi"/>
                <w:b/>
              </w:rPr>
            </w:pPr>
            <w:r w:rsidRPr="003C6BB0">
              <w:rPr>
                <w:rFonts w:cstheme="minorHAnsi"/>
                <w:b/>
              </w:rPr>
              <w:t>Dokumen Balik Nama ID PLN</w:t>
            </w:r>
            <w:r w:rsidR="00C427F2">
              <w:rPr>
                <w:rFonts w:cstheme="minorHAnsi"/>
                <w:b/>
              </w:rPr>
              <w:t>.</w:t>
            </w:r>
          </w:p>
        </w:tc>
        <w:tc>
          <w:tcPr>
            <w:tcW w:w="1202" w:type="dxa"/>
            <w:vAlign w:val="center"/>
          </w:tcPr>
          <w:p w:rsidR="00C70B88" w:rsidRPr="003C6BB0" w:rsidRDefault="00C70B88" w:rsidP="005142BC">
            <w:pPr>
              <w:jc w:val="center"/>
              <w:rPr>
                <w:rFonts w:cstheme="minorHAnsi"/>
              </w:rPr>
            </w:pPr>
            <w:r w:rsidRPr="003C6BB0">
              <w:rPr>
                <w:rFonts w:cstheme="minorHAnsi"/>
              </w:rPr>
              <w:t>P -29.</w:t>
            </w:r>
          </w:p>
        </w:tc>
      </w:tr>
      <w:tr w:rsidR="00865C9E" w:rsidRPr="003C6BB0" w:rsidTr="005142BC">
        <w:tc>
          <w:tcPr>
            <w:tcW w:w="817" w:type="dxa"/>
            <w:vAlign w:val="center"/>
          </w:tcPr>
          <w:p w:rsidR="004C4C44" w:rsidRPr="003C6BB0" w:rsidRDefault="004C4C44" w:rsidP="005142BC">
            <w:pPr>
              <w:jc w:val="center"/>
              <w:rPr>
                <w:rFonts w:cstheme="minorHAnsi"/>
              </w:rPr>
            </w:pPr>
            <w:r w:rsidRPr="003C6BB0">
              <w:rPr>
                <w:rFonts w:cstheme="minorHAnsi"/>
              </w:rPr>
              <w:t>30.</w:t>
            </w:r>
          </w:p>
        </w:tc>
        <w:tc>
          <w:tcPr>
            <w:tcW w:w="7655" w:type="dxa"/>
          </w:tcPr>
          <w:p w:rsidR="004C4C44" w:rsidRPr="003C6BB0" w:rsidRDefault="004C4C44" w:rsidP="007A6175">
            <w:pPr>
              <w:jc w:val="both"/>
              <w:rPr>
                <w:rFonts w:cstheme="minorHAnsi"/>
                <w:b/>
              </w:rPr>
            </w:pPr>
            <w:r w:rsidRPr="003C6BB0">
              <w:rPr>
                <w:rFonts w:cstheme="minorHAnsi"/>
                <w:b/>
              </w:rPr>
              <w:t>Dokumen Balik Nama ID PDAM</w:t>
            </w:r>
            <w:r w:rsidR="00C427F2">
              <w:rPr>
                <w:rFonts w:cstheme="minorHAnsi"/>
                <w:b/>
              </w:rPr>
              <w:t>.</w:t>
            </w:r>
          </w:p>
        </w:tc>
        <w:tc>
          <w:tcPr>
            <w:tcW w:w="1202" w:type="dxa"/>
            <w:vAlign w:val="center"/>
          </w:tcPr>
          <w:p w:rsidR="004C4C44" w:rsidRPr="003C6BB0" w:rsidRDefault="004C4C44" w:rsidP="005142BC">
            <w:pPr>
              <w:jc w:val="center"/>
              <w:rPr>
                <w:rFonts w:cstheme="minorHAnsi"/>
              </w:rPr>
            </w:pPr>
            <w:r w:rsidRPr="003C6BB0">
              <w:rPr>
                <w:rFonts w:cstheme="minorHAnsi"/>
              </w:rPr>
              <w:t>P-30.</w:t>
            </w:r>
          </w:p>
        </w:tc>
      </w:tr>
      <w:tr w:rsidR="00865C9E" w:rsidRPr="003C6BB0" w:rsidTr="005142BC">
        <w:tc>
          <w:tcPr>
            <w:tcW w:w="817" w:type="dxa"/>
            <w:vAlign w:val="center"/>
          </w:tcPr>
          <w:p w:rsidR="00292E38" w:rsidRPr="003C6BB0" w:rsidRDefault="00292E38" w:rsidP="005142BC">
            <w:pPr>
              <w:jc w:val="center"/>
              <w:rPr>
                <w:rFonts w:cstheme="minorHAnsi"/>
              </w:rPr>
            </w:pPr>
            <w:r w:rsidRPr="003C6BB0">
              <w:rPr>
                <w:rFonts w:cstheme="minorHAnsi"/>
              </w:rPr>
              <w:t>31.</w:t>
            </w:r>
          </w:p>
        </w:tc>
        <w:tc>
          <w:tcPr>
            <w:tcW w:w="7655" w:type="dxa"/>
          </w:tcPr>
          <w:p w:rsidR="00292E38" w:rsidRPr="003C6BB0" w:rsidRDefault="00292E38" w:rsidP="00292E38">
            <w:pPr>
              <w:jc w:val="both"/>
              <w:rPr>
                <w:rFonts w:cstheme="minorHAnsi"/>
                <w:b/>
                <w:bCs/>
              </w:rPr>
            </w:pPr>
            <w:r w:rsidRPr="003C6BB0">
              <w:rPr>
                <w:rFonts w:cstheme="minorHAnsi"/>
                <w:b/>
                <w:bCs/>
              </w:rPr>
              <w:t>SURAT EX PENGURUS PPRS GCM Boneka Pengelola DENGAN NOMER:049/PP-GCM/X/2013 TANGGAL 11-Oktober - 2013.</w:t>
            </w:r>
          </w:p>
          <w:p w:rsidR="00292E38" w:rsidRPr="003C6BB0" w:rsidRDefault="00292E38" w:rsidP="00292E38">
            <w:pPr>
              <w:jc w:val="both"/>
              <w:rPr>
                <w:rFonts w:cstheme="minorHAnsi"/>
              </w:rPr>
            </w:pPr>
            <w:r w:rsidRPr="003C6BB0">
              <w:rPr>
                <w:rFonts w:cstheme="minorHAnsi"/>
              </w:rPr>
              <w:t>Yang isinya meminta kepada PLN untuk mengembalikan nama ID Pelanggan Listrik yang baru saja dibalik nama oleh Pengurus PPRSC GCM Hasil RULB, kembali menjadi a.n. PT. Duta Pertiwi lagi.</w:t>
            </w:r>
          </w:p>
        </w:tc>
        <w:tc>
          <w:tcPr>
            <w:tcW w:w="1202" w:type="dxa"/>
            <w:vAlign w:val="center"/>
          </w:tcPr>
          <w:p w:rsidR="00292E38" w:rsidRPr="003C6BB0" w:rsidRDefault="00292E38" w:rsidP="005142BC">
            <w:pPr>
              <w:jc w:val="center"/>
              <w:rPr>
                <w:rFonts w:cstheme="minorHAnsi"/>
              </w:rPr>
            </w:pPr>
            <w:r w:rsidRPr="003C6BB0">
              <w:rPr>
                <w:rFonts w:cstheme="minorHAnsi"/>
              </w:rPr>
              <w:t>P-31.</w:t>
            </w:r>
          </w:p>
        </w:tc>
      </w:tr>
      <w:tr w:rsidR="00865C9E" w:rsidRPr="003C6BB0" w:rsidTr="005142BC">
        <w:tc>
          <w:tcPr>
            <w:tcW w:w="817" w:type="dxa"/>
            <w:vAlign w:val="center"/>
          </w:tcPr>
          <w:p w:rsidR="00292E38" w:rsidRPr="003C6BB0" w:rsidRDefault="00292E38" w:rsidP="005142BC">
            <w:pPr>
              <w:jc w:val="center"/>
              <w:rPr>
                <w:rFonts w:cstheme="minorHAnsi"/>
              </w:rPr>
            </w:pPr>
            <w:r w:rsidRPr="003C6BB0">
              <w:rPr>
                <w:rFonts w:cstheme="minorHAnsi"/>
              </w:rPr>
              <w:t>32.</w:t>
            </w:r>
          </w:p>
        </w:tc>
        <w:tc>
          <w:tcPr>
            <w:tcW w:w="7655" w:type="dxa"/>
          </w:tcPr>
          <w:p w:rsidR="00292E38" w:rsidRPr="003C6BB0" w:rsidRDefault="00292E38" w:rsidP="00292E38">
            <w:pPr>
              <w:jc w:val="both"/>
              <w:rPr>
                <w:rFonts w:cstheme="minorHAnsi"/>
                <w:b/>
                <w:bCs/>
              </w:rPr>
            </w:pPr>
            <w:r w:rsidRPr="003C6BB0">
              <w:rPr>
                <w:rFonts w:cstheme="minorHAnsi"/>
                <w:b/>
              </w:rPr>
              <w:t>SP-3 dari Bareskrim terhadap LP Duta Pertiwi dengan Terlapor Manajer PLN, terkait dengan balik nama.</w:t>
            </w:r>
          </w:p>
        </w:tc>
        <w:tc>
          <w:tcPr>
            <w:tcW w:w="1202" w:type="dxa"/>
            <w:vAlign w:val="center"/>
          </w:tcPr>
          <w:p w:rsidR="00292E38" w:rsidRPr="003C6BB0" w:rsidRDefault="00292E38" w:rsidP="005142BC">
            <w:pPr>
              <w:jc w:val="center"/>
              <w:rPr>
                <w:rFonts w:cstheme="minorHAnsi"/>
              </w:rPr>
            </w:pPr>
            <w:r w:rsidRPr="003C6BB0">
              <w:rPr>
                <w:rFonts w:cstheme="minorHAnsi"/>
              </w:rPr>
              <w:t>P-32.</w:t>
            </w:r>
          </w:p>
        </w:tc>
      </w:tr>
      <w:tr w:rsidR="00865C9E" w:rsidRPr="00C403FB" w:rsidTr="005142BC">
        <w:tc>
          <w:tcPr>
            <w:tcW w:w="817" w:type="dxa"/>
            <w:vAlign w:val="center"/>
          </w:tcPr>
          <w:p w:rsidR="00292E38" w:rsidRPr="00C403FB" w:rsidRDefault="00292E38" w:rsidP="005142BC">
            <w:pPr>
              <w:jc w:val="center"/>
              <w:rPr>
                <w:rFonts w:cstheme="minorHAnsi"/>
              </w:rPr>
            </w:pPr>
            <w:r w:rsidRPr="00C403FB">
              <w:rPr>
                <w:rFonts w:cstheme="minorHAnsi"/>
              </w:rPr>
              <w:t>33.</w:t>
            </w:r>
          </w:p>
        </w:tc>
        <w:tc>
          <w:tcPr>
            <w:tcW w:w="7655" w:type="dxa"/>
          </w:tcPr>
          <w:p w:rsidR="00C427F2" w:rsidRPr="00C427F2" w:rsidRDefault="00C427F2" w:rsidP="00C427F2">
            <w:pPr>
              <w:jc w:val="both"/>
              <w:rPr>
                <w:rFonts w:cstheme="minorHAnsi"/>
                <w:b/>
              </w:rPr>
            </w:pPr>
            <w:r w:rsidRPr="00C427F2">
              <w:rPr>
                <w:rFonts w:cstheme="minorHAnsi"/>
                <w:b/>
              </w:rPr>
              <w:t>Hasil Laporan Singkat Pertemuan Konsultasi Pimpinan DPR RI dan Pimpinan Komisi III &amp; V DPR RI, Menpera RI, Ka BPN, GUB DKI, PLN, Dll. Tanggal 25 Pebruari 2014.</w:t>
            </w:r>
          </w:p>
          <w:p w:rsidR="00292E38" w:rsidRPr="00C403FB" w:rsidRDefault="00C427F2" w:rsidP="00C427F2">
            <w:pPr>
              <w:jc w:val="both"/>
              <w:rPr>
                <w:rFonts w:cstheme="minorHAnsi"/>
                <w:b/>
              </w:rPr>
            </w:pPr>
            <w:r w:rsidRPr="00A16D39">
              <w:rPr>
                <w:rFonts w:eastAsia="Calibri" w:cstheme="minorHAnsi"/>
              </w:rPr>
              <w:t>Dalam rapat konsultasi Pimpinan DPR RI dengan Pemerintah dan Kapolri yang diwakili Kabareskrim Mabes Polri, disepakati 3 kawasan Rusun yaitu ITC Mangga Dua, ROXY Mas dan GCM sebagai percontohan dalam Pengelolaan Rusun.</w:t>
            </w:r>
          </w:p>
        </w:tc>
        <w:tc>
          <w:tcPr>
            <w:tcW w:w="1202" w:type="dxa"/>
            <w:vAlign w:val="center"/>
          </w:tcPr>
          <w:p w:rsidR="00292E38" w:rsidRPr="00C403FB" w:rsidRDefault="00292E38" w:rsidP="005142BC">
            <w:pPr>
              <w:jc w:val="center"/>
              <w:rPr>
                <w:rFonts w:cstheme="minorHAnsi"/>
              </w:rPr>
            </w:pPr>
            <w:r w:rsidRPr="00C403FB">
              <w:rPr>
                <w:rFonts w:cstheme="minorHAnsi"/>
              </w:rPr>
              <w:t>P-33.</w:t>
            </w:r>
          </w:p>
        </w:tc>
      </w:tr>
      <w:tr w:rsidR="00865C9E" w:rsidRPr="00C403FB" w:rsidTr="005142BC">
        <w:tc>
          <w:tcPr>
            <w:tcW w:w="817" w:type="dxa"/>
            <w:vAlign w:val="center"/>
          </w:tcPr>
          <w:p w:rsidR="00292E38" w:rsidRPr="00C403FB" w:rsidRDefault="00292E38" w:rsidP="005142BC">
            <w:pPr>
              <w:jc w:val="center"/>
              <w:rPr>
                <w:rFonts w:cstheme="minorHAnsi"/>
              </w:rPr>
            </w:pPr>
            <w:r w:rsidRPr="00C403FB">
              <w:rPr>
                <w:rFonts w:cstheme="minorHAnsi"/>
              </w:rPr>
              <w:t>34.</w:t>
            </w:r>
          </w:p>
        </w:tc>
        <w:tc>
          <w:tcPr>
            <w:tcW w:w="7655" w:type="dxa"/>
          </w:tcPr>
          <w:p w:rsidR="00292E38" w:rsidRPr="00C403FB" w:rsidRDefault="00EE1096" w:rsidP="00292E38">
            <w:pPr>
              <w:jc w:val="both"/>
              <w:rPr>
                <w:rFonts w:cstheme="minorHAnsi"/>
                <w:b/>
              </w:rPr>
            </w:pPr>
            <w:r w:rsidRPr="00C403FB">
              <w:rPr>
                <w:rFonts w:eastAsia="Calibri" w:cstheme="minorHAnsi"/>
                <w:b/>
              </w:rPr>
              <w:t>Keputusan Gubernur Provinsi DKI Jakarta No.1778 tanggal 6 November 2014, tentang pembentukan Tim Terpadu Penyelesaian 3 Kawasan Percontohan Nasional, yaitu ITC Manggadua, ITC Roxy Mas, Graha Cempaka Mas (GCM)</w:t>
            </w:r>
          </w:p>
        </w:tc>
        <w:tc>
          <w:tcPr>
            <w:tcW w:w="1202" w:type="dxa"/>
            <w:vAlign w:val="center"/>
          </w:tcPr>
          <w:p w:rsidR="00292E38" w:rsidRPr="00C403FB" w:rsidRDefault="00292E38" w:rsidP="005142BC">
            <w:pPr>
              <w:jc w:val="center"/>
              <w:rPr>
                <w:rFonts w:cstheme="minorHAnsi"/>
              </w:rPr>
            </w:pPr>
            <w:r w:rsidRPr="00C403FB">
              <w:rPr>
                <w:rFonts w:cstheme="minorHAnsi"/>
              </w:rPr>
              <w:t>P-34.</w:t>
            </w:r>
          </w:p>
        </w:tc>
      </w:tr>
      <w:tr w:rsidR="00865C9E" w:rsidRPr="00865C9E" w:rsidTr="005142BC">
        <w:tc>
          <w:tcPr>
            <w:tcW w:w="817" w:type="dxa"/>
            <w:vAlign w:val="center"/>
          </w:tcPr>
          <w:p w:rsidR="00EE1096" w:rsidRPr="00C403FB" w:rsidRDefault="00EE1096" w:rsidP="005142BC">
            <w:pPr>
              <w:jc w:val="center"/>
              <w:rPr>
                <w:rFonts w:cstheme="minorHAnsi"/>
              </w:rPr>
            </w:pPr>
            <w:r w:rsidRPr="00C403FB">
              <w:rPr>
                <w:rFonts w:cstheme="minorHAnsi"/>
              </w:rPr>
              <w:t>35.</w:t>
            </w:r>
          </w:p>
        </w:tc>
        <w:tc>
          <w:tcPr>
            <w:tcW w:w="7655" w:type="dxa"/>
          </w:tcPr>
          <w:p w:rsidR="00C427F2" w:rsidRPr="00C427F2" w:rsidRDefault="00C427F2" w:rsidP="00C427F2">
            <w:pPr>
              <w:jc w:val="both"/>
              <w:rPr>
                <w:rFonts w:cstheme="minorHAnsi"/>
                <w:b/>
              </w:rPr>
            </w:pPr>
            <w:r w:rsidRPr="00C427F2">
              <w:rPr>
                <w:rFonts w:cstheme="minorHAnsi"/>
                <w:b/>
                <w:bCs/>
              </w:rPr>
              <w:t>Surat Komisi Ombudsman RI Nomor: 027</w:t>
            </w:r>
            <w:r w:rsidRPr="00C427F2">
              <w:rPr>
                <w:rFonts w:cstheme="minorHAnsi"/>
                <w:b/>
                <w:bCs/>
                <w:lang w:val="en-US"/>
              </w:rPr>
              <w:t>4</w:t>
            </w:r>
            <w:r w:rsidRPr="00C427F2">
              <w:rPr>
                <w:rFonts w:cstheme="minorHAnsi"/>
                <w:b/>
                <w:bCs/>
              </w:rPr>
              <w:t>/SRT/0211.2015/BS.19/ Tim.V/III/2015 Tanggal 30 Maret 2015</w:t>
            </w:r>
            <w:r w:rsidRPr="00C427F2">
              <w:rPr>
                <w:rFonts w:cstheme="minorHAnsi"/>
                <w:b/>
              </w:rPr>
              <w:t>.</w:t>
            </w:r>
          </w:p>
          <w:p w:rsidR="00EE1096" w:rsidRPr="00C403FB" w:rsidRDefault="00C427F2" w:rsidP="00C427F2">
            <w:pPr>
              <w:jc w:val="both"/>
              <w:rPr>
                <w:rFonts w:eastAsia="Calibri" w:cstheme="minorHAnsi"/>
              </w:rPr>
            </w:pPr>
            <w:r w:rsidRPr="00A16D39">
              <w:rPr>
                <w:rFonts w:cstheme="minorHAnsi"/>
              </w:rPr>
              <w:t>Yang berisi arahan untuk Kadis Perumahan DKI segera merevisi surat Kadis Perumahan DKI No. 492/-1.796.55.</w:t>
            </w:r>
          </w:p>
        </w:tc>
        <w:tc>
          <w:tcPr>
            <w:tcW w:w="1202" w:type="dxa"/>
            <w:vAlign w:val="center"/>
          </w:tcPr>
          <w:p w:rsidR="00EE1096" w:rsidRPr="00865C9E" w:rsidRDefault="00EE1096" w:rsidP="005142BC">
            <w:pPr>
              <w:jc w:val="center"/>
              <w:rPr>
                <w:rFonts w:cstheme="minorHAnsi"/>
              </w:rPr>
            </w:pPr>
            <w:r w:rsidRPr="00C403FB">
              <w:rPr>
                <w:rFonts w:cstheme="minorHAnsi"/>
              </w:rPr>
              <w:t>P-35.</w:t>
            </w:r>
          </w:p>
        </w:tc>
      </w:tr>
      <w:tr w:rsidR="00EE1096" w:rsidRPr="007A6175" w:rsidTr="005142BC">
        <w:tc>
          <w:tcPr>
            <w:tcW w:w="817" w:type="dxa"/>
            <w:vAlign w:val="center"/>
          </w:tcPr>
          <w:p w:rsidR="00EE1096" w:rsidRPr="007A6175" w:rsidRDefault="007A6175" w:rsidP="005142BC">
            <w:pPr>
              <w:jc w:val="center"/>
              <w:rPr>
                <w:rFonts w:cstheme="minorHAnsi"/>
              </w:rPr>
            </w:pPr>
            <w:r w:rsidRPr="007A6175">
              <w:rPr>
                <w:rFonts w:cstheme="minorHAnsi"/>
              </w:rPr>
              <w:t>36.</w:t>
            </w:r>
          </w:p>
        </w:tc>
        <w:tc>
          <w:tcPr>
            <w:tcW w:w="7655" w:type="dxa"/>
          </w:tcPr>
          <w:p w:rsidR="00EE1096" w:rsidRPr="00FE24AB" w:rsidRDefault="007A6175" w:rsidP="00292E38">
            <w:pPr>
              <w:jc w:val="both"/>
              <w:rPr>
                <w:rFonts w:eastAsia="Calibri" w:cstheme="minorHAnsi"/>
              </w:rPr>
            </w:pPr>
            <w:r w:rsidRPr="00FE24AB">
              <w:rPr>
                <w:rFonts w:eastAsia="Calibri" w:cstheme="minorHAnsi"/>
                <w:b/>
              </w:rPr>
              <w:t>AUDIT INDEPENDEN Kerugian Warga GCM yang dibuat oleh Asosiasi Investor Indonesia (I3) dan 3 Kantor Konsultan Hukum</w:t>
            </w:r>
          </w:p>
        </w:tc>
        <w:tc>
          <w:tcPr>
            <w:tcW w:w="1202" w:type="dxa"/>
            <w:vAlign w:val="center"/>
          </w:tcPr>
          <w:p w:rsidR="00EE1096" w:rsidRPr="007A6175" w:rsidRDefault="007A6175" w:rsidP="005142BC">
            <w:pPr>
              <w:jc w:val="center"/>
              <w:rPr>
                <w:rFonts w:cstheme="minorHAnsi"/>
              </w:rPr>
            </w:pPr>
            <w:r w:rsidRPr="007A6175">
              <w:rPr>
                <w:rFonts w:cstheme="minorHAnsi"/>
              </w:rPr>
              <w:t>P-36.</w:t>
            </w:r>
          </w:p>
        </w:tc>
      </w:tr>
      <w:tr w:rsidR="00FE24AB" w:rsidRPr="007A6175" w:rsidTr="005142BC">
        <w:tc>
          <w:tcPr>
            <w:tcW w:w="817" w:type="dxa"/>
            <w:vAlign w:val="center"/>
          </w:tcPr>
          <w:p w:rsidR="00FE24AB" w:rsidRPr="007A6175" w:rsidRDefault="00FE24AB" w:rsidP="005142BC">
            <w:pPr>
              <w:jc w:val="center"/>
              <w:rPr>
                <w:rFonts w:cstheme="minorHAnsi"/>
              </w:rPr>
            </w:pPr>
            <w:r>
              <w:rPr>
                <w:rFonts w:cstheme="minorHAnsi"/>
              </w:rPr>
              <w:t>37.</w:t>
            </w:r>
          </w:p>
        </w:tc>
        <w:tc>
          <w:tcPr>
            <w:tcW w:w="7655" w:type="dxa"/>
          </w:tcPr>
          <w:p w:rsidR="00FE24AB" w:rsidRPr="00D158DF" w:rsidRDefault="00FE24AB" w:rsidP="00292E38">
            <w:pPr>
              <w:jc w:val="both"/>
              <w:rPr>
                <w:rFonts w:eastAsia="Calibri" w:cstheme="minorHAnsi"/>
                <w:b/>
              </w:rPr>
            </w:pPr>
            <w:r w:rsidRPr="00D158DF">
              <w:rPr>
                <w:rFonts w:cstheme="minorHAnsi"/>
                <w:b/>
              </w:rPr>
              <w:t>Contoh Sertipikat untuk Kawasan yang SHGB nya sudah dibalik nama menjadi atas nama P3SRS yaitu Kawasan Rusun OASIS MITRA SARANA Jakarta Pusat</w:t>
            </w:r>
          </w:p>
        </w:tc>
        <w:tc>
          <w:tcPr>
            <w:tcW w:w="1202" w:type="dxa"/>
            <w:vAlign w:val="center"/>
          </w:tcPr>
          <w:p w:rsidR="00FE24AB" w:rsidRPr="007A6175" w:rsidRDefault="00FE24AB" w:rsidP="005142BC">
            <w:pPr>
              <w:jc w:val="center"/>
              <w:rPr>
                <w:rFonts w:cstheme="minorHAnsi"/>
              </w:rPr>
            </w:pPr>
            <w:r>
              <w:rPr>
                <w:rFonts w:cstheme="minorHAnsi"/>
              </w:rPr>
              <w:t>P-37.</w:t>
            </w:r>
          </w:p>
        </w:tc>
      </w:tr>
      <w:tr w:rsidR="00FE24AB" w:rsidRPr="007A6175" w:rsidTr="005142BC">
        <w:tc>
          <w:tcPr>
            <w:tcW w:w="817" w:type="dxa"/>
            <w:vAlign w:val="center"/>
          </w:tcPr>
          <w:p w:rsidR="00FE24AB" w:rsidRDefault="00FE24AB" w:rsidP="005142BC">
            <w:pPr>
              <w:jc w:val="center"/>
              <w:rPr>
                <w:rFonts w:cstheme="minorHAnsi"/>
              </w:rPr>
            </w:pPr>
            <w:r>
              <w:rPr>
                <w:rFonts w:cstheme="minorHAnsi"/>
              </w:rPr>
              <w:t>38.</w:t>
            </w:r>
          </w:p>
        </w:tc>
        <w:tc>
          <w:tcPr>
            <w:tcW w:w="7655" w:type="dxa"/>
          </w:tcPr>
          <w:p w:rsidR="00D158DF" w:rsidRPr="00D158DF" w:rsidRDefault="00FE24AB" w:rsidP="00292E38">
            <w:pPr>
              <w:jc w:val="both"/>
              <w:rPr>
                <w:rFonts w:cstheme="minorHAnsi"/>
              </w:rPr>
            </w:pPr>
            <w:r w:rsidRPr="00D158DF">
              <w:rPr>
                <w:rFonts w:cstheme="minorHAnsi"/>
                <w:b/>
              </w:rPr>
              <w:t xml:space="preserve">Bukti Pengiriman Surat PPRSC GCM No. 148/PPRSC-GCM/VIII/2014 Tanggal 06 Agustus 2014 kepada </w:t>
            </w:r>
            <w:r w:rsidR="00D158DF">
              <w:rPr>
                <w:rFonts w:cstheme="minorHAnsi"/>
                <w:b/>
              </w:rPr>
              <w:t xml:space="preserve">Menteri Tata Ruang/ Kepala BPN </w:t>
            </w:r>
            <w:r w:rsidR="00D158DF" w:rsidRPr="00D158DF">
              <w:rPr>
                <w:rFonts w:cstheme="minorHAnsi"/>
                <w:b/>
              </w:rPr>
              <w:t>oleh Biro PT. Pos Indonesia</w:t>
            </w:r>
            <w:r w:rsidR="00D158DF" w:rsidRPr="00D158DF">
              <w:rPr>
                <w:rFonts w:cstheme="minorHAnsi"/>
                <w:b/>
              </w:rPr>
              <w:t>.</w:t>
            </w:r>
          </w:p>
          <w:p w:rsidR="00FE24AB" w:rsidRPr="00FE24AB" w:rsidRDefault="00FE24AB" w:rsidP="00D158DF">
            <w:pPr>
              <w:jc w:val="both"/>
              <w:rPr>
                <w:rFonts w:cstheme="minorHAnsi"/>
                <w:highlight w:val="yellow"/>
              </w:rPr>
            </w:pPr>
            <w:r w:rsidRPr="00FE24AB">
              <w:rPr>
                <w:rFonts w:cstheme="minorHAnsi"/>
              </w:rPr>
              <w:t xml:space="preserve">Perihal: Permohonan Perubahan Nama Pemegang HGB GCM No.210 Tanggal 4 Desember 1995 </w:t>
            </w:r>
          </w:p>
        </w:tc>
        <w:tc>
          <w:tcPr>
            <w:tcW w:w="1202" w:type="dxa"/>
            <w:vAlign w:val="center"/>
          </w:tcPr>
          <w:p w:rsidR="00FE24AB" w:rsidRDefault="00FE24AB" w:rsidP="005142BC">
            <w:pPr>
              <w:jc w:val="center"/>
              <w:rPr>
                <w:rFonts w:cstheme="minorHAnsi"/>
              </w:rPr>
            </w:pPr>
            <w:r>
              <w:rPr>
                <w:rFonts w:cstheme="minorHAnsi"/>
              </w:rPr>
              <w:t>P-38.</w:t>
            </w:r>
          </w:p>
        </w:tc>
      </w:tr>
      <w:tr w:rsidR="00FE24AB" w:rsidRPr="007A6175" w:rsidTr="005142BC">
        <w:tc>
          <w:tcPr>
            <w:tcW w:w="817" w:type="dxa"/>
            <w:vAlign w:val="center"/>
          </w:tcPr>
          <w:p w:rsidR="00FE24AB" w:rsidRDefault="00FE24AB" w:rsidP="005142BC">
            <w:pPr>
              <w:jc w:val="center"/>
              <w:rPr>
                <w:rFonts w:cstheme="minorHAnsi"/>
              </w:rPr>
            </w:pPr>
            <w:r>
              <w:rPr>
                <w:rFonts w:cstheme="minorHAnsi"/>
              </w:rPr>
              <w:t>39.</w:t>
            </w:r>
          </w:p>
        </w:tc>
        <w:tc>
          <w:tcPr>
            <w:tcW w:w="7655" w:type="dxa"/>
          </w:tcPr>
          <w:p w:rsidR="00D158DF" w:rsidRPr="00D158DF" w:rsidRDefault="00FE24AB" w:rsidP="00D158DF">
            <w:pPr>
              <w:jc w:val="both"/>
              <w:rPr>
                <w:rFonts w:cstheme="minorHAnsi"/>
                <w:b/>
                <w:iCs/>
              </w:rPr>
            </w:pPr>
            <w:r w:rsidRPr="00D158DF">
              <w:rPr>
                <w:rFonts w:cstheme="minorHAnsi"/>
                <w:b/>
              </w:rPr>
              <w:t xml:space="preserve">Bukti Pengiriman Surat PPRSC GCM </w:t>
            </w:r>
            <w:r w:rsidRPr="00D158DF">
              <w:rPr>
                <w:rFonts w:cstheme="minorHAnsi"/>
                <w:b/>
                <w:iCs/>
              </w:rPr>
              <w:t>Nomer 67/PPRSC-GCM/VI/2015 Tanggal 12 Juni 2015</w:t>
            </w:r>
            <w:r w:rsidR="00D158DF" w:rsidRPr="00D158DF">
              <w:rPr>
                <w:rFonts w:cstheme="minorHAnsi"/>
                <w:b/>
                <w:iCs/>
              </w:rPr>
              <w:t xml:space="preserve"> </w:t>
            </w:r>
            <w:r w:rsidR="00D158DF" w:rsidRPr="00D158DF">
              <w:rPr>
                <w:rFonts w:cstheme="minorHAnsi"/>
                <w:b/>
                <w:iCs/>
              </w:rPr>
              <w:t>oleh Biro Jasa PT. Pos Indonesia</w:t>
            </w:r>
            <w:r w:rsidR="00D158DF" w:rsidRPr="00D158DF">
              <w:rPr>
                <w:rFonts w:cstheme="minorHAnsi"/>
                <w:b/>
                <w:iCs/>
              </w:rPr>
              <w:t>.</w:t>
            </w:r>
          </w:p>
          <w:p w:rsidR="00FE24AB" w:rsidRPr="00FE24AB" w:rsidRDefault="00FE24AB" w:rsidP="00D158DF">
            <w:pPr>
              <w:jc w:val="both"/>
              <w:rPr>
                <w:rFonts w:cstheme="minorHAnsi"/>
              </w:rPr>
            </w:pPr>
            <w:r w:rsidRPr="00FE24AB">
              <w:rPr>
                <w:rFonts w:cstheme="minorHAnsi"/>
                <w:iCs/>
              </w:rPr>
              <w:t xml:space="preserve">Hal: Kepastian Hak Suara Dalam RUTA PPPSRS dan Pembetulan Data Hak Kepemilikan Atas Bagian Bersama atas Rusun, yang didalamnya juga meminta pembatalan 27 SHM Ruang Hak Bersama dan Baliknama SHGB No.210 Kelurahan </w:t>
            </w:r>
            <w:r w:rsidR="00D158DF">
              <w:rPr>
                <w:rFonts w:cstheme="minorHAnsi"/>
                <w:iCs/>
              </w:rPr>
              <w:t>Sumur Batu.</w:t>
            </w:r>
          </w:p>
        </w:tc>
        <w:tc>
          <w:tcPr>
            <w:tcW w:w="1202" w:type="dxa"/>
            <w:vAlign w:val="center"/>
          </w:tcPr>
          <w:p w:rsidR="00FE24AB" w:rsidRDefault="00FE24AB" w:rsidP="005142BC">
            <w:pPr>
              <w:jc w:val="center"/>
              <w:rPr>
                <w:rFonts w:cstheme="minorHAnsi"/>
              </w:rPr>
            </w:pPr>
            <w:r>
              <w:rPr>
                <w:rFonts w:cstheme="minorHAnsi"/>
              </w:rPr>
              <w:t>P-39.</w:t>
            </w:r>
          </w:p>
        </w:tc>
      </w:tr>
      <w:tr w:rsidR="00FE24AB" w:rsidRPr="007A6175" w:rsidTr="005142BC">
        <w:tc>
          <w:tcPr>
            <w:tcW w:w="817" w:type="dxa"/>
            <w:vAlign w:val="center"/>
          </w:tcPr>
          <w:p w:rsidR="00FE24AB" w:rsidRDefault="00D158DF" w:rsidP="005142BC">
            <w:pPr>
              <w:jc w:val="center"/>
              <w:rPr>
                <w:rFonts w:cstheme="minorHAnsi"/>
              </w:rPr>
            </w:pPr>
            <w:r>
              <w:rPr>
                <w:rFonts w:cstheme="minorHAnsi"/>
              </w:rPr>
              <w:t>40.</w:t>
            </w:r>
          </w:p>
        </w:tc>
        <w:tc>
          <w:tcPr>
            <w:tcW w:w="7655" w:type="dxa"/>
          </w:tcPr>
          <w:p w:rsidR="00D158DF" w:rsidRPr="00D158DF" w:rsidRDefault="00FE24AB" w:rsidP="00292E38">
            <w:pPr>
              <w:jc w:val="both"/>
              <w:rPr>
                <w:b/>
              </w:rPr>
            </w:pPr>
            <w:r w:rsidRPr="00D158DF">
              <w:rPr>
                <w:rFonts w:cstheme="minorHAnsi"/>
                <w:b/>
                <w:bCs/>
                <w:iCs/>
              </w:rPr>
              <w:t xml:space="preserve">Bukti Pengiriman Surat PPRSC GCM Nomer </w:t>
            </w:r>
            <w:r w:rsidRPr="00D158DF">
              <w:rPr>
                <w:rFonts w:cstheme="minorHAnsi"/>
                <w:b/>
                <w:iCs/>
              </w:rPr>
              <w:t>1</w:t>
            </w:r>
            <w:r w:rsidRPr="00D158DF">
              <w:rPr>
                <w:rFonts w:cstheme="minorHAnsi"/>
                <w:b/>
                <w:iCs/>
                <w:lang w:val="en-US"/>
              </w:rPr>
              <w:t>15</w:t>
            </w:r>
            <w:r w:rsidRPr="00D158DF">
              <w:rPr>
                <w:rFonts w:cstheme="minorHAnsi"/>
                <w:b/>
                <w:iCs/>
              </w:rPr>
              <w:t>/PPRSC-GCM/</w:t>
            </w:r>
            <w:r w:rsidRPr="00D158DF">
              <w:rPr>
                <w:rFonts w:cstheme="minorHAnsi"/>
                <w:b/>
                <w:iCs/>
                <w:lang w:val="en-US"/>
              </w:rPr>
              <w:t>X</w:t>
            </w:r>
            <w:r w:rsidRPr="00D158DF">
              <w:rPr>
                <w:rFonts w:cstheme="minorHAnsi"/>
                <w:b/>
                <w:iCs/>
              </w:rPr>
              <w:t>/201</w:t>
            </w:r>
            <w:r w:rsidRPr="00D158DF">
              <w:rPr>
                <w:rFonts w:cstheme="minorHAnsi"/>
                <w:b/>
                <w:iCs/>
                <w:lang w:val="en-US"/>
              </w:rPr>
              <w:t>5</w:t>
            </w:r>
            <w:r w:rsidRPr="00D158DF">
              <w:rPr>
                <w:rFonts w:cstheme="minorHAnsi"/>
                <w:b/>
                <w:iCs/>
              </w:rPr>
              <w:t xml:space="preserve"> Tanggal </w:t>
            </w:r>
            <w:r w:rsidRPr="00D158DF">
              <w:rPr>
                <w:rFonts w:cstheme="minorHAnsi"/>
                <w:b/>
                <w:iCs/>
                <w:lang w:val="en-US"/>
              </w:rPr>
              <w:t xml:space="preserve">19 </w:t>
            </w:r>
            <w:proofErr w:type="spellStart"/>
            <w:r w:rsidRPr="00D158DF">
              <w:rPr>
                <w:rFonts w:cstheme="minorHAnsi"/>
                <w:b/>
                <w:iCs/>
                <w:lang w:val="en-US"/>
              </w:rPr>
              <w:t>Oktober</w:t>
            </w:r>
            <w:proofErr w:type="spellEnd"/>
            <w:r w:rsidRPr="00D158DF">
              <w:rPr>
                <w:rFonts w:cstheme="minorHAnsi"/>
                <w:b/>
                <w:iCs/>
              </w:rPr>
              <w:t xml:space="preserve"> 201</w:t>
            </w:r>
            <w:r w:rsidRPr="00D158DF">
              <w:rPr>
                <w:rFonts w:cstheme="minorHAnsi"/>
                <w:b/>
                <w:iCs/>
                <w:lang w:val="en-US"/>
              </w:rPr>
              <w:t>5</w:t>
            </w:r>
            <w:r w:rsidR="00D158DF" w:rsidRPr="00D158DF">
              <w:rPr>
                <w:b/>
              </w:rPr>
              <w:t xml:space="preserve"> </w:t>
            </w:r>
            <w:r w:rsidR="00D158DF" w:rsidRPr="00D158DF">
              <w:rPr>
                <w:rFonts w:cstheme="minorHAnsi"/>
                <w:b/>
                <w:iCs/>
              </w:rPr>
              <w:t>oleh Biro PT. Pos Indonesia</w:t>
            </w:r>
            <w:r w:rsidR="00D158DF">
              <w:rPr>
                <w:rFonts w:cstheme="minorHAnsi"/>
                <w:b/>
                <w:iCs/>
              </w:rPr>
              <w:t>.</w:t>
            </w:r>
          </w:p>
          <w:p w:rsidR="00FE24AB" w:rsidRPr="00FE24AB" w:rsidRDefault="00FE24AB" w:rsidP="00D158DF">
            <w:pPr>
              <w:jc w:val="both"/>
              <w:rPr>
                <w:rFonts w:cstheme="minorHAnsi"/>
              </w:rPr>
            </w:pPr>
            <w:r w:rsidRPr="00FE24AB">
              <w:rPr>
                <w:rFonts w:cstheme="minorHAnsi"/>
                <w:iCs/>
              </w:rPr>
              <w:t xml:space="preserve">Hal: Permohonan Ulang Untuk Balik Nama Pemegang Hak Atas Tanah Bersama Rusun Graha </w:t>
            </w:r>
            <w:r w:rsidRPr="00FE24AB">
              <w:rPr>
                <w:rFonts w:cstheme="minorHAnsi"/>
                <w:iCs/>
                <w:lang w:val="en-US"/>
              </w:rPr>
              <w:t>C</w:t>
            </w:r>
            <w:r w:rsidRPr="00FE24AB">
              <w:rPr>
                <w:rFonts w:cstheme="minorHAnsi"/>
                <w:iCs/>
              </w:rPr>
              <w:t>empaka Mas dan 27 Ruang Fasum/Fasos Graha Cempaka Mas</w:t>
            </w:r>
            <w:r w:rsidR="00D158DF">
              <w:rPr>
                <w:rFonts w:cstheme="minorHAnsi"/>
                <w:iCs/>
              </w:rPr>
              <w:t>.</w:t>
            </w:r>
          </w:p>
        </w:tc>
        <w:tc>
          <w:tcPr>
            <w:tcW w:w="1202" w:type="dxa"/>
            <w:vAlign w:val="center"/>
          </w:tcPr>
          <w:p w:rsidR="00FE24AB" w:rsidRDefault="00D158DF" w:rsidP="005142BC">
            <w:pPr>
              <w:jc w:val="center"/>
              <w:rPr>
                <w:rFonts w:cstheme="minorHAnsi"/>
              </w:rPr>
            </w:pPr>
            <w:r>
              <w:rPr>
                <w:rFonts w:cstheme="minorHAnsi"/>
              </w:rPr>
              <w:t>P-40.</w:t>
            </w:r>
          </w:p>
        </w:tc>
      </w:tr>
      <w:tr w:rsidR="00FE24AB" w:rsidRPr="007A6175" w:rsidTr="005142BC">
        <w:tc>
          <w:tcPr>
            <w:tcW w:w="817" w:type="dxa"/>
            <w:vAlign w:val="center"/>
          </w:tcPr>
          <w:p w:rsidR="00D158DF" w:rsidRDefault="00D158DF" w:rsidP="005142BC">
            <w:pPr>
              <w:jc w:val="center"/>
              <w:rPr>
                <w:rFonts w:cstheme="minorHAnsi"/>
              </w:rPr>
            </w:pPr>
            <w:r>
              <w:rPr>
                <w:rFonts w:cstheme="minorHAnsi"/>
              </w:rPr>
              <w:lastRenderedPageBreak/>
              <w:t>41.</w:t>
            </w:r>
          </w:p>
        </w:tc>
        <w:tc>
          <w:tcPr>
            <w:tcW w:w="7655" w:type="dxa"/>
          </w:tcPr>
          <w:p w:rsidR="00D158DF" w:rsidRPr="00D158DF" w:rsidRDefault="00FE24AB" w:rsidP="00292E38">
            <w:pPr>
              <w:jc w:val="both"/>
              <w:rPr>
                <w:rFonts w:cstheme="minorHAnsi"/>
                <w:b/>
                <w:iCs/>
              </w:rPr>
            </w:pPr>
            <w:r w:rsidRPr="00D158DF">
              <w:rPr>
                <w:rFonts w:cstheme="minorHAnsi"/>
                <w:b/>
                <w:bCs/>
                <w:iCs/>
              </w:rPr>
              <w:t xml:space="preserve">Bukti Tanda Terima Surat PPRSC GCM Nomer </w:t>
            </w:r>
            <w:r w:rsidRPr="00D158DF">
              <w:rPr>
                <w:rFonts w:cstheme="minorHAnsi"/>
                <w:b/>
                <w:iCs/>
              </w:rPr>
              <w:t>14</w:t>
            </w:r>
            <w:r w:rsidRPr="00D158DF">
              <w:rPr>
                <w:rFonts w:cstheme="minorHAnsi"/>
                <w:b/>
                <w:iCs/>
                <w:lang w:val="en-US"/>
              </w:rPr>
              <w:t>6</w:t>
            </w:r>
            <w:r w:rsidRPr="00D158DF">
              <w:rPr>
                <w:rFonts w:cstheme="minorHAnsi"/>
                <w:b/>
                <w:iCs/>
              </w:rPr>
              <w:t>/PPRSC-GCM/</w:t>
            </w:r>
            <w:r w:rsidRPr="00D158DF">
              <w:rPr>
                <w:rFonts w:cstheme="minorHAnsi"/>
                <w:b/>
                <w:iCs/>
                <w:lang w:val="en-US"/>
              </w:rPr>
              <w:t>XII</w:t>
            </w:r>
            <w:r w:rsidRPr="00D158DF">
              <w:rPr>
                <w:rFonts w:cstheme="minorHAnsi"/>
                <w:b/>
                <w:iCs/>
              </w:rPr>
              <w:t>/201</w:t>
            </w:r>
            <w:r w:rsidRPr="00D158DF">
              <w:rPr>
                <w:rFonts w:cstheme="minorHAnsi"/>
                <w:b/>
                <w:iCs/>
                <w:lang w:val="en-US"/>
              </w:rPr>
              <w:t>5</w:t>
            </w:r>
            <w:r w:rsidRPr="00D158DF">
              <w:rPr>
                <w:rFonts w:cstheme="minorHAnsi"/>
                <w:b/>
                <w:iCs/>
              </w:rPr>
              <w:t xml:space="preserve"> Tanggal </w:t>
            </w:r>
            <w:r w:rsidRPr="00D158DF">
              <w:rPr>
                <w:rFonts w:cstheme="minorHAnsi"/>
                <w:b/>
                <w:iCs/>
                <w:lang w:val="en-US"/>
              </w:rPr>
              <w:t xml:space="preserve">17 </w:t>
            </w:r>
            <w:proofErr w:type="spellStart"/>
            <w:r w:rsidRPr="00D158DF">
              <w:rPr>
                <w:rFonts w:cstheme="minorHAnsi"/>
                <w:b/>
                <w:iCs/>
                <w:lang w:val="en-US"/>
              </w:rPr>
              <w:t>Desember</w:t>
            </w:r>
            <w:proofErr w:type="spellEnd"/>
            <w:r w:rsidRPr="00D158DF">
              <w:rPr>
                <w:rFonts w:cstheme="minorHAnsi"/>
                <w:b/>
                <w:iCs/>
              </w:rPr>
              <w:t xml:space="preserve"> 201</w:t>
            </w:r>
            <w:r w:rsidRPr="00D158DF">
              <w:rPr>
                <w:rFonts w:cstheme="minorHAnsi"/>
                <w:b/>
                <w:iCs/>
                <w:lang w:val="en-US"/>
              </w:rPr>
              <w:t>5</w:t>
            </w:r>
            <w:r w:rsidR="00D158DF" w:rsidRPr="00D158DF">
              <w:rPr>
                <w:rFonts w:cstheme="minorHAnsi"/>
                <w:b/>
                <w:iCs/>
              </w:rPr>
              <w:t>.</w:t>
            </w:r>
          </w:p>
          <w:p w:rsidR="00FE24AB" w:rsidRPr="00FE24AB" w:rsidRDefault="00FE24AB" w:rsidP="00292E38">
            <w:pPr>
              <w:jc w:val="both"/>
              <w:rPr>
                <w:rFonts w:cstheme="minorHAnsi"/>
              </w:rPr>
            </w:pPr>
            <w:r w:rsidRPr="00FE24AB">
              <w:rPr>
                <w:rFonts w:cstheme="minorHAnsi"/>
                <w:iCs/>
              </w:rPr>
              <w:t>Hal: Permohonan Balik Nama SHGB No.210 Kawasan GCM Kelurahan Sumur Batu dan 27 Unit Fasum Fasos Milik Warga GCM yang keduanya masih dikuasai PT Duta Pertiwi Tbk, dan Pemberitahuan KEABSAHAN Pengurus PPRSC GCM</w:t>
            </w:r>
            <w:r w:rsidRPr="00FE24AB">
              <w:rPr>
                <w:rFonts w:cstheme="minorHAnsi"/>
                <w:iCs/>
              </w:rPr>
              <w:t>.</w:t>
            </w:r>
          </w:p>
        </w:tc>
        <w:tc>
          <w:tcPr>
            <w:tcW w:w="1202" w:type="dxa"/>
            <w:vAlign w:val="center"/>
          </w:tcPr>
          <w:p w:rsidR="00FE24AB" w:rsidRDefault="00D158DF" w:rsidP="005142BC">
            <w:pPr>
              <w:jc w:val="center"/>
              <w:rPr>
                <w:rFonts w:cstheme="minorHAnsi"/>
              </w:rPr>
            </w:pPr>
            <w:r>
              <w:rPr>
                <w:rFonts w:cstheme="minorHAnsi"/>
              </w:rPr>
              <w:t>P-41.</w:t>
            </w:r>
          </w:p>
        </w:tc>
      </w:tr>
      <w:tr w:rsidR="00FE24AB" w:rsidRPr="007A6175" w:rsidTr="005142BC">
        <w:tc>
          <w:tcPr>
            <w:tcW w:w="817" w:type="dxa"/>
            <w:vAlign w:val="center"/>
          </w:tcPr>
          <w:p w:rsidR="00FE24AB" w:rsidRDefault="00D158DF" w:rsidP="005142BC">
            <w:pPr>
              <w:jc w:val="center"/>
              <w:rPr>
                <w:rFonts w:cstheme="minorHAnsi"/>
              </w:rPr>
            </w:pPr>
            <w:r>
              <w:rPr>
                <w:rFonts w:cstheme="minorHAnsi"/>
              </w:rPr>
              <w:t>42.</w:t>
            </w:r>
          </w:p>
        </w:tc>
        <w:tc>
          <w:tcPr>
            <w:tcW w:w="7655" w:type="dxa"/>
          </w:tcPr>
          <w:p w:rsidR="00D158DF" w:rsidRPr="00D158DF" w:rsidRDefault="00FE24AB" w:rsidP="00D158DF">
            <w:pPr>
              <w:jc w:val="both"/>
              <w:rPr>
                <w:rFonts w:cstheme="minorHAnsi"/>
                <w:b/>
                <w:iCs/>
              </w:rPr>
            </w:pPr>
            <w:r w:rsidRPr="00D158DF">
              <w:rPr>
                <w:rFonts w:cstheme="minorHAnsi"/>
                <w:b/>
                <w:iCs/>
              </w:rPr>
              <w:t xml:space="preserve">Bukti </w:t>
            </w:r>
            <w:r w:rsidRPr="00D158DF">
              <w:rPr>
                <w:rFonts w:cstheme="minorHAnsi"/>
                <w:b/>
                <w:bCs/>
                <w:iCs/>
              </w:rPr>
              <w:t>Pengiriman Surat</w:t>
            </w:r>
            <w:r w:rsidRPr="00D158DF">
              <w:rPr>
                <w:rFonts w:cstheme="minorHAnsi"/>
                <w:b/>
                <w:iCs/>
              </w:rPr>
              <w:t xml:space="preserve"> KAPPRI Nomer 23/SK/KAPPRI/IV/2015 Tanggal 17 April 2015 </w:t>
            </w:r>
            <w:r w:rsidR="00D158DF" w:rsidRPr="00D158DF">
              <w:rPr>
                <w:rFonts w:cstheme="minorHAnsi"/>
                <w:b/>
                <w:iCs/>
              </w:rPr>
              <w:t>oleh Biro PT. Tiki Indonesia</w:t>
            </w:r>
            <w:r w:rsidR="00D158DF" w:rsidRPr="00D158DF">
              <w:rPr>
                <w:rFonts w:cstheme="minorHAnsi"/>
                <w:b/>
                <w:iCs/>
              </w:rPr>
              <w:t>.</w:t>
            </w:r>
          </w:p>
          <w:p w:rsidR="00FE24AB" w:rsidRPr="00FE24AB" w:rsidRDefault="00FE24AB" w:rsidP="00D158DF">
            <w:pPr>
              <w:jc w:val="both"/>
              <w:rPr>
                <w:rFonts w:cstheme="minorHAnsi"/>
              </w:rPr>
            </w:pPr>
            <w:r w:rsidRPr="00FE24AB">
              <w:rPr>
                <w:rFonts w:cstheme="minorHAnsi"/>
                <w:iCs/>
              </w:rPr>
              <w:t>Hal: Mohon Segera Memerintahkan Kepala Kantor Pertanahan Kota Administratif Jakarta Pusat Untuk Segera Membalik Namakan Sertipikat Induk Kawasan GCM SHGB Nomer: 210/Kelurahan Sumurbatu dan 27 SHM Fasum/Fasos GCM</w:t>
            </w:r>
            <w:r w:rsidR="00D158DF">
              <w:rPr>
                <w:rFonts w:cstheme="minorHAnsi"/>
                <w:iCs/>
              </w:rPr>
              <w:t>.</w:t>
            </w:r>
            <w:r w:rsidRPr="00FE24AB">
              <w:rPr>
                <w:rFonts w:cstheme="minorHAnsi"/>
                <w:iCs/>
              </w:rPr>
              <w:t xml:space="preserve"> </w:t>
            </w:r>
          </w:p>
        </w:tc>
        <w:tc>
          <w:tcPr>
            <w:tcW w:w="1202" w:type="dxa"/>
            <w:vAlign w:val="center"/>
          </w:tcPr>
          <w:p w:rsidR="00FE24AB" w:rsidRDefault="00D158DF" w:rsidP="005142BC">
            <w:pPr>
              <w:jc w:val="center"/>
              <w:rPr>
                <w:rFonts w:cstheme="minorHAnsi"/>
              </w:rPr>
            </w:pPr>
            <w:r>
              <w:rPr>
                <w:rFonts w:cstheme="minorHAnsi"/>
              </w:rPr>
              <w:t>P-42.</w:t>
            </w:r>
          </w:p>
        </w:tc>
      </w:tr>
      <w:tr w:rsidR="00865C9E" w:rsidRPr="007A6175" w:rsidTr="005142BC">
        <w:tc>
          <w:tcPr>
            <w:tcW w:w="817" w:type="dxa"/>
            <w:vAlign w:val="center"/>
          </w:tcPr>
          <w:p w:rsidR="00865C9E" w:rsidRDefault="00865C9E" w:rsidP="005142BC">
            <w:pPr>
              <w:jc w:val="center"/>
              <w:rPr>
                <w:rFonts w:cstheme="minorHAnsi"/>
              </w:rPr>
            </w:pPr>
            <w:r>
              <w:rPr>
                <w:rFonts w:cstheme="minorHAnsi"/>
              </w:rPr>
              <w:t>43.</w:t>
            </w:r>
          </w:p>
        </w:tc>
        <w:tc>
          <w:tcPr>
            <w:tcW w:w="7655" w:type="dxa"/>
          </w:tcPr>
          <w:p w:rsidR="00865C9E" w:rsidRPr="00D158DF" w:rsidRDefault="00865C9E" w:rsidP="00D158DF">
            <w:pPr>
              <w:jc w:val="both"/>
              <w:rPr>
                <w:rFonts w:cstheme="minorHAnsi"/>
                <w:b/>
                <w:iCs/>
              </w:rPr>
            </w:pPr>
            <w:r>
              <w:rPr>
                <w:rFonts w:cstheme="minorHAnsi"/>
                <w:b/>
                <w:iCs/>
              </w:rPr>
              <w:t>Contoh Akta Jual Beli (AJB)</w:t>
            </w:r>
          </w:p>
        </w:tc>
        <w:tc>
          <w:tcPr>
            <w:tcW w:w="1202" w:type="dxa"/>
            <w:vAlign w:val="center"/>
          </w:tcPr>
          <w:p w:rsidR="00865C9E" w:rsidRDefault="00865C9E" w:rsidP="005142BC">
            <w:pPr>
              <w:jc w:val="center"/>
              <w:rPr>
                <w:rFonts w:cstheme="minorHAnsi"/>
              </w:rPr>
            </w:pPr>
            <w:r>
              <w:rPr>
                <w:rFonts w:cstheme="minorHAnsi"/>
              </w:rPr>
              <w:t>P-43.</w:t>
            </w:r>
          </w:p>
        </w:tc>
      </w:tr>
      <w:tr w:rsidR="003C6BB0" w:rsidRPr="007A6175" w:rsidTr="005142BC">
        <w:tc>
          <w:tcPr>
            <w:tcW w:w="817" w:type="dxa"/>
            <w:vAlign w:val="center"/>
          </w:tcPr>
          <w:p w:rsidR="003C6BB0" w:rsidRPr="003C6BB0" w:rsidRDefault="003C6BB0" w:rsidP="005142BC">
            <w:pPr>
              <w:jc w:val="center"/>
              <w:rPr>
                <w:rFonts w:cstheme="minorHAnsi"/>
              </w:rPr>
            </w:pPr>
            <w:r w:rsidRPr="003C6BB0">
              <w:rPr>
                <w:rFonts w:cstheme="minorHAnsi"/>
              </w:rPr>
              <w:t>44.</w:t>
            </w:r>
          </w:p>
        </w:tc>
        <w:tc>
          <w:tcPr>
            <w:tcW w:w="7655" w:type="dxa"/>
          </w:tcPr>
          <w:p w:rsidR="003C6BB0" w:rsidRPr="005142BC" w:rsidRDefault="005142BC" w:rsidP="00D158DF">
            <w:pPr>
              <w:jc w:val="both"/>
              <w:rPr>
                <w:rFonts w:cstheme="minorHAnsi"/>
                <w:b/>
                <w:iCs/>
              </w:rPr>
            </w:pPr>
            <w:r w:rsidRPr="005142BC">
              <w:rPr>
                <w:rFonts w:cstheme="minorHAnsi"/>
                <w:b/>
              </w:rPr>
              <w:t>Gambar pedzaliman PT. Duta Pertiwi sebagai Pengelola Terhadap warga dengan Pengerahan Ratusa</w:t>
            </w:r>
            <w:bookmarkStart w:id="0" w:name="_GoBack"/>
            <w:bookmarkEnd w:id="0"/>
            <w:r w:rsidRPr="005142BC">
              <w:rPr>
                <w:rFonts w:cstheme="minorHAnsi"/>
                <w:b/>
              </w:rPr>
              <w:t>n Preman, dan perbuatan Vandalisme justru dikawal anggota Polri</w:t>
            </w:r>
          </w:p>
        </w:tc>
        <w:tc>
          <w:tcPr>
            <w:tcW w:w="1202" w:type="dxa"/>
            <w:vAlign w:val="center"/>
          </w:tcPr>
          <w:p w:rsidR="003C6BB0" w:rsidRDefault="003C6BB0" w:rsidP="005142BC">
            <w:pPr>
              <w:jc w:val="center"/>
              <w:rPr>
                <w:rFonts w:cstheme="minorHAnsi"/>
              </w:rPr>
            </w:pPr>
            <w:r w:rsidRPr="003C6BB0">
              <w:rPr>
                <w:rFonts w:cstheme="minorHAnsi"/>
              </w:rPr>
              <w:t>P-44.</w:t>
            </w:r>
          </w:p>
        </w:tc>
      </w:tr>
      <w:tr w:rsidR="00C73F24" w:rsidRPr="00C81630" w:rsidTr="005142BC">
        <w:tc>
          <w:tcPr>
            <w:tcW w:w="817" w:type="dxa"/>
            <w:vAlign w:val="center"/>
          </w:tcPr>
          <w:p w:rsidR="00C73F24" w:rsidRPr="00C81630" w:rsidRDefault="00C73F24" w:rsidP="005142BC">
            <w:pPr>
              <w:jc w:val="center"/>
              <w:rPr>
                <w:rFonts w:cstheme="minorHAnsi"/>
              </w:rPr>
            </w:pPr>
            <w:r w:rsidRPr="00C81630">
              <w:rPr>
                <w:rFonts w:cstheme="minorHAnsi"/>
              </w:rPr>
              <w:t>45.</w:t>
            </w:r>
          </w:p>
        </w:tc>
        <w:tc>
          <w:tcPr>
            <w:tcW w:w="7655" w:type="dxa"/>
          </w:tcPr>
          <w:p w:rsidR="00C73F24" w:rsidRPr="00C81630" w:rsidRDefault="00C73F24" w:rsidP="00C73F24">
            <w:pPr>
              <w:jc w:val="both"/>
              <w:rPr>
                <w:rFonts w:cstheme="minorHAnsi"/>
              </w:rPr>
            </w:pPr>
            <w:r w:rsidRPr="00C81630">
              <w:rPr>
                <w:rFonts w:cstheme="minorHAnsi"/>
                <w:b/>
                <w:bCs/>
              </w:rPr>
              <w:t xml:space="preserve">Panggilan sebagai TERSANGKA a.n. Sdr </w:t>
            </w:r>
            <w:r w:rsidRPr="00C81630">
              <w:rPr>
                <w:rFonts w:cstheme="minorHAnsi"/>
                <w:b/>
                <w:bCs/>
              </w:rPr>
              <w:t>Johannis Vityn dan Sdr Liauw Fie Boen.</w:t>
            </w:r>
          </w:p>
        </w:tc>
        <w:tc>
          <w:tcPr>
            <w:tcW w:w="1202" w:type="dxa"/>
            <w:vAlign w:val="center"/>
          </w:tcPr>
          <w:p w:rsidR="00C73F24" w:rsidRPr="00C81630" w:rsidRDefault="00C73F24" w:rsidP="005142BC">
            <w:pPr>
              <w:jc w:val="center"/>
              <w:rPr>
                <w:rFonts w:cstheme="minorHAnsi"/>
              </w:rPr>
            </w:pPr>
            <w:r w:rsidRPr="00C81630">
              <w:rPr>
                <w:rFonts w:cstheme="minorHAnsi"/>
              </w:rPr>
              <w:t>P-45.</w:t>
            </w:r>
          </w:p>
        </w:tc>
      </w:tr>
      <w:tr w:rsidR="00C73F24" w:rsidRPr="00C81630" w:rsidTr="005142BC">
        <w:tc>
          <w:tcPr>
            <w:tcW w:w="817" w:type="dxa"/>
            <w:vAlign w:val="center"/>
          </w:tcPr>
          <w:p w:rsidR="00C73F24" w:rsidRPr="00C81630" w:rsidRDefault="00C73F24" w:rsidP="005142BC">
            <w:pPr>
              <w:jc w:val="center"/>
              <w:rPr>
                <w:rFonts w:cstheme="minorHAnsi"/>
              </w:rPr>
            </w:pPr>
            <w:r w:rsidRPr="00C81630">
              <w:rPr>
                <w:rFonts w:cstheme="minorHAnsi"/>
              </w:rPr>
              <w:t>46.</w:t>
            </w:r>
          </w:p>
        </w:tc>
        <w:tc>
          <w:tcPr>
            <w:tcW w:w="7655" w:type="dxa"/>
          </w:tcPr>
          <w:p w:rsidR="00C73F24" w:rsidRPr="005142BC" w:rsidRDefault="005142BC" w:rsidP="00C73F24">
            <w:pPr>
              <w:jc w:val="both"/>
              <w:rPr>
                <w:rFonts w:cstheme="minorHAnsi"/>
                <w:b/>
                <w:bCs/>
              </w:rPr>
            </w:pPr>
            <w:r w:rsidRPr="005142BC">
              <w:rPr>
                <w:rFonts w:cstheme="minorHAnsi"/>
                <w:b/>
                <w:bCs/>
              </w:rPr>
              <w:t>PUTUSAN PRA PRADILAN No. 08/Pid.Prap/2015/PN.Jkt.Pst.</w:t>
            </w:r>
          </w:p>
          <w:p w:rsidR="005142BC" w:rsidRPr="00C81630" w:rsidRDefault="005142BC" w:rsidP="00C73F24">
            <w:pPr>
              <w:jc w:val="both"/>
              <w:rPr>
                <w:rFonts w:cstheme="minorHAnsi"/>
                <w:b/>
                <w:bCs/>
              </w:rPr>
            </w:pPr>
            <w:r w:rsidRPr="00A16D39">
              <w:rPr>
                <w:rFonts w:cstheme="minorHAnsi"/>
                <w:bCs/>
              </w:rPr>
              <w:t>Penangkapan 4 warga Rusun GCM tersebut dimohonkan Pra Peradilan dan Pengadilan PN Jakarta Pusat mengabulkan permohonan tersebut tidak SAH menurut hukum.</w:t>
            </w:r>
          </w:p>
        </w:tc>
        <w:tc>
          <w:tcPr>
            <w:tcW w:w="1202" w:type="dxa"/>
            <w:vAlign w:val="center"/>
          </w:tcPr>
          <w:p w:rsidR="00C73F24" w:rsidRPr="00C81630" w:rsidRDefault="005142BC" w:rsidP="005142BC">
            <w:pPr>
              <w:jc w:val="center"/>
              <w:rPr>
                <w:rFonts w:cstheme="minorHAnsi"/>
              </w:rPr>
            </w:pPr>
            <w:r>
              <w:rPr>
                <w:rFonts w:cstheme="minorHAnsi"/>
              </w:rPr>
              <w:t>P-46.</w:t>
            </w:r>
          </w:p>
        </w:tc>
      </w:tr>
      <w:tr w:rsidR="00C73F24" w:rsidRPr="00C81630" w:rsidTr="005142BC">
        <w:tc>
          <w:tcPr>
            <w:tcW w:w="817" w:type="dxa"/>
            <w:vAlign w:val="center"/>
          </w:tcPr>
          <w:p w:rsidR="00C73F24" w:rsidRPr="00C81630" w:rsidRDefault="00C73F24" w:rsidP="005142BC">
            <w:pPr>
              <w:jc w:val="center"/>
              <w:rPr>
                <w:rFonts w:cstheme="minorHAnsi"/>
              </w:rPr>
            </w:pPr>
            <w:r w:rsidRPr="00C81630">
              <w:rPr>
                <w:rFonts w:cstheme="minorHAnsi"/>
              </w:rPr>
              <w:t>47.</w:t>
            </w:r>
          </w:p>
        </w:tc>
        <w:tc>
          <w:tcPr>
            <w:tcW w:w="7655" w:type="dxa"/>
          </w:tcPr>
          <w:p w:rsidR="005142BC" w:rsidRPr="005142BC" w:rsidRDefault="005142BC" w:rsidP="005142BC">
            <w:pPr>
              <w:jc w:val="both"/>
              <w:rPr>
                <w:rFonts w:cstheme="minorHAnsi"/>
                <w:b/>
                <w:bCs/>
              </w:rPr>
            </w:pPr>
            <w:r w:rsidRPr="005142BC">
              <w:rPr>
                <w:rFonts w:cstheme="minorHAnsi"/>
                <w:b/>
                <w:bCs/>
              </w:rPr>
              <w:t xml:space="preserve">PUTUSAN PRA PERADILAN: No. 09/Pid.Prap/2015/PN.Jkt.Pst. </w:t>
            </w:r>
          </w:p>
          <w:p w:rsidR="005142BC" w:rsidRPr="00A16D39" w:rsidRDefault="005142BC" w:rsidP="005142BC">
            <w:pPr>
              <w:jc w:val="both"/>
              <w:rPr>
                <w:rFonts w:cstheme="minorHAnsi"/>
              </w:rPr>
            </w:pPr>
            <w:r w:rsidRPr="00A16D39">
              <w:rPr>
                <w:rFonts w:cstheme="minorHAnsi"/>
              </w:rPr>
              <w:t>Dalam putusan perkara ini juga ditegaskan bahwa Hak Bersama seperti gembok adalah milik Pemilik Sarusun, sebagaimana ketentuan Pasal 46 UU.NO.20/2011.</w:t>
            </w:r>
          </w:p>
          <w:p w:rsidR="005142BC" w:rsidRPr="00A16D39" w:rsidRDefault="005142BC" w:rsidP="005142BC">
            <w:pPr>
              <w:jc w:val="both"/>
              <w:rPr>
                <w:rFonts w:cstheme="minorHAnsi"/>
              </w:rPr>
            </w:pPr>
            <w:r w:rsidRPr="00A16D39">
              <w:rPr>
                <w:rFonts w:cstheme="minorHAnsi"/>
              </w:rPr>
              <w:t>Bukti bahwa penangkapan 4 warga Rusun GCM sebagaimana dijelaskan diatas dinyatakan TIDAK SAH dan TIDAK BERDASARKAN HUKUM.</w:t>
            </w:r>
          </w:p>
          <w:p w:rsidR="00C73F24" w:rsidRPr="00C81630" w:rsidRDefault="005142BC" w:rsidP="005142BC">
            <w:pPr>
              <w:jc w:val="both"/>
              <w:rPr>
                <w:rFonts w:cstheme="minorHAnsi"/>
                <w:b/>
                <w:bCs/>
              </w:rPr>
            </w:pPr>
            <w:r w:rsidRPr="00A16D39">
              <w:rPr>
                <w:rFonts w:cstheme="minorHAnsi"/>
                <w:bCs/>
              </w:rPr>
              <w:t>Artinya perbuatan untuk memperbaiki Panel Listrik miliknya sendiri dengan membongkar Gembok yang dibeli dari uang IPL yang dipungut dari warga  bukankah perbuatan pidana.</w:t>
            </w:r>
          </w:p>
        </w:tc>
        <w:tc>
          <w:tcPr>
            <w:tcW w:w="1202" w:type="dxa"/>
            <w:vAlign w:val="center"/>
          </w:tcPr>
          <w:p w:rsidR="00C73F24" w:rsidRPr="00C81630" w:rsidRDefault="005142BC" w:rsidP="005142BC">
            <w:pPr>
              <w:jc w:val="center"/>
              <w:rPr>
                <w:rFonts w:cstheme="minorHAnsi"/>
              </w:rPr>
            </w:pPr>
            <w:r>
              <w:rPr>
                <w:rFonts w:cstheme="minorHAnsi"/>
              </w:rPr>
              <w:t>P-47.</w:t>
            </w:r>
          </w:p>
        </w:tc>
      </w:tr>
    </w:tbl>
    <w:p w:rsidR="009103EB" w:rsidRPr="007A6175" w:rsidRDefault="009103EB">
      <w:pPr>
        <w:rPr>
          <w:rFonts w:cstheme="minorHAnsi"/>
        </w:rPr>
      </w:pPr>
    </w:p>
    <w:sectPr w:rsidR="009103EB" w:rsidRPr="007A6175" w:rsidSect="005142BC">
      <w:pgSz w:w="11906" w:h="16838"/>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9D5680"/>
    <w:multiLevelType w:val="hybridMultilevel"/>
    <w:tmpl w:val="DBBC5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3">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88"/>
    <w:rsid w:val="00292E38"/>
    <w:rsid w:val="003C6BB0"/>
    <w:rsid w:val="004C4C44"/>
    <w:rsid w:val="005142BC"/>
    <w:rsid w:val="007A6175"/>
    <w:rsid w:val="00865C9E"/>
    <w:rsid w:val="0087660D"/>
    <w:rsid w:val="009103EB"/>
    <w:rsid w:val="00C403FB"/>
    <w:rsid w:val="00C427F2"/>
    <w:rsid w:val="00C70B88"/>
    <w:rsid w:val="00C73F24"/>
    <w:rsid w:val="00C81630"/>
    <w:rsid w:val="00D158DF"/>
    <w:rsid w:val="00EE1096"/>
    <w:rsid w:val="00FE24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88"/>
    <w:rPr>
      <w:rFonts w:eastAsiaTheme="minorEastAsia"/>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88"/>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0B8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88"/>
    <w:rPr>
      <w:rFonts w:eastAsiaTheme="minorEastAsia"/>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88"/>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0B8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2016-02-29T04:36:00Z</cp:lastPrinted>
  <dcterms:created xsi:type="dcterms:W3CDTF">2016-02-28T08:47:00Z</dcterms:created>
  <dcterms:modified xsi:type="dcterms:W3CDTF">2016-02-29T04:36:00Z</dcterms:modified>
</cp:coreProperties>
</file>